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b/>
          <w:highlight w:val="none"/>
        </w:rPr>
      </w:pPr>
      <w:r>
        <w:rPr>
          <w:b/>
        </w:rPr>
      </w:r>
      <w:r/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93752" cy="4065363"/>
                <wp:effectExtent l="0" t="0" r="0" b="0"/>
                <wp:docPr id="1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flipH="0" flipV="0">
                          <a:off x="0" y="0"/>
                          <a:ext cx="6093752" cy="40653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79.8pt;height:320.1pt;" stroked="false">
                <v:path textboxrect="0,0,0,0"/>
                <v:imagedata r:id="rId12" o:title=""/>
              </v:shape>
            </w:pict>
          </mc:Fallback>
        </mc:AlternateContent>
      </w:r>
      <w:r/>
      <w:r/>
    </w:p>
    <w:p>
      <w:pPr>
        <w:ind w:left="0" w:right="0" w:firstLine="0"/>
        <w:jc w:val="center"/>
        <w:spacing w:lineRule="atLeast" w:line="8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lineRule="atLeast" w:line="8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ПОЛОЖЕНИЕ</w:t>
      </w:r>
      <w:r/>
    </w:p>
    <w:p>
      <w:pPr>
        <w:ind w:left="0" w:right="0" w:firstLine="0"/>
        <w:jc w:val="center"/>
        <w:spacing w:lineRule="atLeast" w:line="8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ВСЕРОССИЙСКОГО ЗАОЧНОГО КОНКУРСА ПОДРОСТКОВЫХ МЕДИАРАБОТ </w:t>
      </w:r>
      <w:r/>
    </w:p>
    <w:p>
      <w:pPr>
        <w:ind w:left="0" w:right="0" w:firstLine="0"/>
        <w:jc w:val="center"/>
        <w:spacing w:lineRule="atLeast" w:line="8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«БЕЗ СРОКА ДАВНОСТИ: НЕПОКОРЁННЫЕ»</w:t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Настоящее Положение определяет порядок и сроки проведения в 2022 году конкурса (далее – Конкурс) на выявление медиалидеров в создании медиапродукции о мирных советских жителях, которые стали жертвами гитлеровской политики массового уничтожения людей в год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ы Великой Отечественной войны 1941-1945 г.г. (ВОВ). 90 победителям Конкурса будет присвоен статус медиалидеров. 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 случае победы в Конкурсе медиалидеры, которые занимаются в кино- или медиастудии, шесть детей и руководитель Студии станут участниками трехдневной образовательной программы, включающей Презентации лучших фильмов в июне 2022 года в Москве в Доме кино и на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Городском экране архитектурно-скульптурного пространства, посвященного фронтовому кинооператору (г. Красногорск, Московской области), а также экскурсии в Российский государственный архив кинофотодокументов (РГАКФД) и Красногорский филиал Музея Победы (М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осковская область). Организатор Конкурса оплачивает проживание и питание медиалидеров, а также руководителя Студии (при условии, что статус медиалидера будет присвоен не менее шести обучающимся Студии). Проезд участников и руководителя Студии осуществляетс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я за счет направляющей стороны. 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 случае победы в Конкурсе медиалидеров – индивидуальных участников, организатор Конкурса оплачивает проживание и питание медиалидеров.  Проезд медиалидеров осуществляется за счет направляющей стороны. Участие  медиалидера в Образовательной программе в Мос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кве возможно только при сопровождении взрослого. Проезд, проживание и питание сопровождающего взрослого оплачивает направляющая сторона.</w:t>
      </w:r>
      <w:r/>
    </w:p>
    <w:p>
      <w:pPr>
        <w:ind w:left="0" w:right="0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15 лучших фильмов Конкурса войдут в Киноальманах. Несколько фильмов Киноальманаха получат диплом «Фильм, удостоенный государственного хранения» и будет принят РГАКФД на вечное хранение. Для публичного просмотра фильмы Киноальманаха будут размещены на сай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те Федерального проекта «Без срока давности». 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Организатор Конкурса – Межрегиональная общественная организация «Детское медийное объединение «Бумеранг» (МОО ДМО «Бумеранг»). Проект реализуется при поддержке Фонда президентских грантов, Российского государственного архива кинофотодокументов,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Общероссийского общественного движения по увековечению памяти погибших при защите Отечества «Поисковое движение России», Союза кинематографистов России.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Участникам Конкурса необходимо внимательно познакомиться с Положением Конкурса. Подача заявки на Конкурс предусматривает согласие участника со всеми пунктами Положения.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Организатор Конкурса оставляет за собой право вносить изменения в Положение, вызванные рисками распространения новой коронавирусной инфекции (COVID-19). 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Настоящее Положение подлежит открытой публикации на официальном сайте МОО ДМО «Бумеранг» </w:t>
      </w:r>
      <w:hyperlink r:id="rId13" w:tooltip="http://forumbumerang.ru/" w:history="1">
        <w:r>
          <w:rPr>
            <w:rStyle w:val="751"/>
            <w:rFonts w:ascii="Times New Roman" w:hAnsi="Times New Roman" w:cs="Times New Roman" w:eastAsia="Times New Roman"/>
            <w:color w:val="0563C1"/>
            <w:sz w:val="28"/>
            <w:u w:val="single"/>
          </w:rPr>
          <w:t xml:space="preserve">http://forumbumerang.ru/</w:t>
        </w:r>
      </w:hyperlink>
      <w:r>
        <w:rPr>
          <w:rFonts w:ascii="Times New Roman" w:hAnsi="Times New Roman" w:cs="Times New Roman" w:eastAsia="Times New Roman"/>
          <w:color w:val="000000"/>
          <w:sz w:val="28"/>
        </w:rPr>
        <w:t xml:space="preserve"> и сайте Конкурса   </w:t>
      </w:r>
      <w:hyperlink r:id="rId14" w:tooltip="http://xn--e1aaokcaebgn7jzc.xn--p1ai/" w:history="1">
        <w:r>
          <w:rPr>
            <w:rStyle w:val="751"/>
            <w:rFonts w:ascii="Times New Roman" w:hAnsi="Times New Roman" w:cs="Times New Roman" w:eastAsia="Times New Roman"/>
            <w:color w:val="0563C1"/>
            <w:sz w:val="28"/>
            <w:u w:val="single"/>
          </w:rPr>
          <w:t xml:space="preserve">http://непокорённые.рф</w:t>
        </w:r>
      </w:hyperlink>
      <w:r>
        <w:rPr>
          <w:rFonts w:ascii="Times New Roman" w:hAnsi="Times New Roman" w:cs="Times New Roman" w:eastAsia="Times New Roman"/>
          <w:color w:val="000000"/>
          <w:sz w:val="28"/>
        </w:rPr>
        <w:t xml:space="preserve"> с момента его утверждения. </w:t>
      </w:r>
      <w:r/>
    </w:p>
    <w:p>
      <w:pPr>
        <w:ind w:left="0" w:right="0" w:firstLine="709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Участие в Конкурсе бесплатное. 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I. Участники Конкурса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1.1. Участниками Конкурса являются подростки 12-17 лет (включительно), индивидуальные участники и занимающиеся в детских и юношеских журналистских объединениях, кино- и медиастудиях (далее Студиях).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1.2. В Конкурсе принимают участие граждане РФ и иностранные граждане, имеющие постоянную или временную регистрацию на территории России.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1.3. Заявки на Конкурс принимаются от индивидуальных участников и коллективов (до 3-х человек). От коллектива авторов одной Студии загружается не менее двух фильмов. Каждый индивидуальный участник или Студия может загрузить на Конкурс неограниченное количе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ство фильмов.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1.4. В состав коллектива могут входить представители авторской группы (режиссёр, сценарист, оператор, монтажёр, звукорежиссёр, художник по костюмам, художник по свету, продюсер) и исполнители главных ролей, либо корреспонденты.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1.5. Ограничения по участию в Конкурсе возможны:</w:t>
      </w:r>
      <w:r/>
    </w:p>
    <w:p>
      <w:pPr>
        <w:ind w:left="0" w:right="0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по приему детей и проведению конкурсного отбора, предусмотренных данным Положением, а также нормативными актами, действующими на момент проведения данных процедур в случае сохранения ограничительных мер, вызванных рисками распространения новой коронавиру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сной инфекции (COVID-19);</w:t>
      </w:r>
      <w:r/>
    </w:p>
    <w:p>
      <w:pPr>
        <w:ind w:left="0" w:right="0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по медицинским противопоказаниям для направления детей-медиалидеров в Москву для участия в презентации фильмов в Москве в Доме кино и на Городском экране архитектурно-скульптурной композиции «Монумент Фронтовому Кинооператору», расположенной в г.о. Кра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сногорск Московской области. Вопросы, связанные с медицинскими противопоказаниями детей-медиалидеров с ограниченными возможностями здоровья, необходимо предварительно согласовать с оргкомитетом Конкурса и получить официальное подтверждение возможности при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ёма их в Москве.</w:t>
      </w:r>
      <w:r/>
    </w:p>
    <w:p>
      <w:pPr>
        <w:ind w:left="0" w:right="0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II. Цель, условия и сроки проведения Конкурса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2.1. Цель </w:t>
      </w: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сохранение исторической памяти о трагедии мирного населения СССР – жертв военных преступлений нацистов и их пособников в период Великой Отечественной войны 1941-1945 г.г. посредством создания подростками медиапродукции.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2.2.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Для участия в Конкурсе индивидуальный участник или коллектив должен подготовить и представить следующие материалы: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1) Выполненное конкурсное задание, состоящее из одной медиаработы (для индивидуального участника) и не менее двух медиаработ (для коллектива) в соответствии с выбранными форматами и номинациями; 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2) Участия в онлайн-консультациях;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К участию в Конкурсе допускаются индивидуальные участники и коллективы, обязательно предоставившие материалы по 1-му пункту.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2.3. Присланные конкурсные документы не возвращаются и не рецензируются. Претендент несёт ответственность за подлинность предоставляемых материалов. Демонстрация, апелляция конкурсных заданий и разбор ошибок не предусматривается.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2.4. Максимальная оценка за Конкурс составляет 100 баллов и формируется из оценок за: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конкурсное задание – до 90 баллов;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прохождение онлайн-консультаций (до 10 баллов).</w:t>
      </w:r>
      <w:r/>
    </w:p>
    <w:p>
      <w:pPr>
        <w:ind w:left="0" w:right="0" w:firstLine="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 2.5. 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Сроки проведения конкурса –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с 1 февраля по 30 апреля (включительно) 2022 года.</w:t>
      </w:r>
      <w:r/>
    </w:p>
    <w:p>
      <w:pPr>
        <w:ind w:left="0" w:right="0" w:firstLine="567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 коллективных заявках должно быть не менее трёх авторов. Коллективные заявки подаются руководителем коллектива или медиалидером коллектива.  </w:t>
      </w:r>
      <w:r/>
    </w:p>
    <w:p>
      <w:pPr>
        <w:ind w:left="0" w:right="0" w:firstLine="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2.6. Работа конкурсной комиссии завершается не позднее 22 мая 2022 года публикацией на официальном сайте МОО ДМО «Бумеранг» рейтинга всех участников Конкурса, на основании которого определяются победители Конкурса и резерв (участники Конкурса, не вошедшие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в квоту победителей, но расположенные в рейтинге сразу после победителей). </w:t>
      </w:r>
      <w:r/>
    </w:p>
    <w:p>
      <w:pPr>
        <w:ind w:left="0" w:right="0" w:firstLine="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2.7. В период с 23 по 31 мая 2022 года победители Конкурса (при достижении 14 лет) или их родители (законные представители) должны подтвердить своё участие/неучастие в образовательной программе в Москве по электронной почте </w:t>
      </w:r>
      <w:hyperlink r:id="rId15" w:tooltip="mailto:hello@forumbumerang.ru" w:history="1">
        <w:r>
          <w:rPr>
            <w:rStyle w:val="751"/>
            <w:rFonts w:ascii="Times New Roman" w:hAnsi="Times New Roman" w:cs="Times New Roman" w:eastAsia="Times New Roman"/>
            <w:color w:val="0563C1"/>
            <w:sz w:val="28"/>
            <w:u w:val="none"/>
          </w:rPr>
          <w:t xml:space="preserve">hello@forumbumerang.ru</w:t>
        </w:r>
      </w:hyperlink>
      <w:r>
        <w:rPr>
          <w:rFonts w:ascii="Times New Roman" w:hAnsi="Times New Roman" w:cs="Times New Roman" w:eastAsia="Times New Roman"/>
          <w:color w:val="000000"/>
          <w:sz w:val="28"/>
        </w:rPr>
        <w:t xml:space="preserve"> (Приложение 1).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 случае отказа от участия или отсутствия подтверждения со стороны победителя Конкурса в обозначенные сроки, организатор допускает к участию в образовательной программе в Москве участников из числа резерва.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ВАЖНО!!!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В коллективных заявках </w:t>
      </w: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допускается сделать замену только одного участника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. В этом случае необходимо направить письмо за подписью руководителя коллектива на электронный адрес </w:t>
      </w:r>
      <w:hyperlink r:id="rId16" w:tooltip="mailto:hello@forumbumerang.ru" w:history="1">
        <w:r>
          <w:rPr>
            <w:rStyle w:val="751"/>
            <w:rFonts w:ascii="Times New Roman" w:hAnsi="Times New Roman" w:cs="Times New Roman" w:eastAsia="Times New Roman"/>
            <w:color w:val="0563C1"/>
            <w:sz w:val="28"/>
            <w:u w:val="none"/>
          </w:rPr>
          <w:t xml:space="preserve">hello@forumbumerang.ru</w:t>
        </w:r>
      </w:hyperlink>
      <w:r>
        <w:rPr>
          <w:rFonts w:ascii="Times New Roman" w:hAnsi="Times New Roman" w:cs="Times New Roman" w:eastAsia="Times New Roman"/>
          <w:color w:val="000000"/>
          <w:sz w:val="28"/>
        </w:rPr>
        <w:t xml:space="preserve">с просьбой о замене участника с указанием причины и данными о новом участнике. 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III. Требования к Конкурсному заданию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3.1. В качестве Конкурсного задания на Конкурс предоставляются не менее двух медиаработ (для коллектива) и не менее одной медиаработы (для индивидуального участника), выполненных в одном из визуальных жанров: видеоэссе, буктрейлер, видеостихотворение (хрон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ометраж не более 5 минут).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Конкурсные медиаработы должны быть созданы в 2022 г. Медиаработы, поданные на Конкурс «БЕЗ СРОКА ДАВНОСТИ: НЕПОКОРЁННЫЕ» не могут быть поданы на Всероссийский заочный конкурс подростковых медиаработ «ДИАЛОГ ПОКОЛЕНИЙ-2022».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Конкурсные медиаработы должны соответствовать одной из четырех 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номинаций: 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«ЗАПЛАКАЛА ЗЕМЛЯ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…» - медиаработы о взрослых мирных советских жителях, которые стали жертвами гитлеровской политики массового уничтожения в годы ВОВ; преступлениях нацистов и их пособников, подтверждающих факт геноцида против мирного населения на оккупированной территории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СССР в годы Великой Отечественной войны; о мемориальных комплексах мирным советским жителям; 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«СПРЯЧЬ, МАМОЧКА, МЕНЯ…» – 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медиаработы о советских детях, которые: - стали узниками </w:t>
      </w: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фашистских концлагерей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; - работали и жили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в заводских цехах, спали на рабочих местах, на полу;- столкнулись с трудностями и проблемами эвакуации из прифронтовых районов;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- выжили на оккупированных территориях на зло врагам;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333333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  <w:highlight w:val="white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ЕГО УВАЖАЛИ В ОТРЯДЕ</w:t>
      </w:r>
      <w:r>
        <w:rPr>
          <w:rFonts w:ascii="Times New Roman" w:hAnsi="Times New Roman" w:cs="Times New Roman" w:eastAsia="Times New Roman"/>
          <w:b/>
          <w:color w:val="000000"/>
          <w:sz w:val="28"/>
          <w:highlight w:val="white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 - медиаработы о добровольцах - подпольщиках и партизанах, которые сражались на  оккупированных фашистами территориях, приближая Победу;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«ЖИЗНЬ КАК ПОДВИГ»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- медиаработы о людях, получивших медаль «За доблестный труд в Великой Отечественной войне 1941-1945 г.г.»;  благодарной памяти </w:t>
      </w: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нового поколения своим предкам, тем, кто трудился в тылу, ковал Победу на производстве; трудовом подвиге советского народа (в том числе женщин) в годы войны.</w:t>
      </w:r>
      <w:r/>
    </w:p>
    <w:p>
      <w:pPr>
        <w:ind w:left="0" w:right="0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 основе готовых медиаработ должна быть конкретная история, раскрывающая одну из номинаций.</w:t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3.2. 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Приём конкурсных документов осуществляется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на сайте </w:t>
      </w:r>
      <w:hyperlink r:id="rId17" w:tooltip="http://xn--e1aaokcaebgn7jzc.xn--p1ai/" w:history="1">
        <w:r>
          <w:rPr>
            <w:rStyle w:val="751"/>
            <w:rFonts w:ascii="Times New Roman" w:hAnsi="Times New Roman" w:cs="Times New Roman" w:eastAsia="Times New Roman"/>
            <w:color w:val="0563C1"/>
            <w:sz w:val="28"/>
            <w:u w:val="single"/>
          </w:rPr>
          <w:t xml:space="preserve">http://непокорённые.рф</w:t>
        </w:r>
      </w:hyperlink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 с 10 марта по 30 апреля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(включительно)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 2022 года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.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По вопросам технической поддержкиобращаться по телефону: 8(495) 606-06-25 или по электронной почте </w:t>
      </w:r>
      <w:hyperlink r:id="rId18" w:tooltip="mailto:hello@forumbumerang.ru" w:history="1">
        <w:r>
          <w:rPr>
            <w:rStyle w:val="751"/>
            <w:rFonts w:ascii="Times New Roman" w:hAnsi="Times New Roman" w:cs="Times New Roman" w:eastAsia="Times New Roman"/>
            <w:color w:val="000000"/>
            <w:sz w:val="28"/>
            <w:u w:val="none"/>
          </w:rPr>
          <w:t xml:space="preserve">hello@forumbumerang.ru</w:t>
        </w:r>
      </w:hyperlink>
      <w:r>
        <w:rPr>
          <w:rFonts w:ascii="Times New Roman" w:hAnsi="Times New Roman" w:cs="Times New Roman" w:eastAsia="Times New Roman"/>
          <w:color w:val="000000"/>
          <w:sz w:val="28"/>
          <w:u w:val="single"/>
        </w:rPr>
        <w:t xml:space="preserve">.</w:t>
      </w:r>
      <w:r/>
    </w:p>
    <w:p>
      <w:pPr>
        <w:ind w:left="0" w:right="0" w:firstLine="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567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3.3. У всех участников Конкурса есть возможность безвозмездно воспользоваться услугами Онлайн-кинолаборатории и пройти онлайн-консультации экспертов по подготовке Конкурсного задания. Запись на онлайн-консультации осуществляется в официальной группе фестив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аля-форума «Бумеранг» в социальной сети ВКонтакте по ссылке - </w:t>
      </w:r>
      <w:hyperlink r:id="rId19" w:tooltip="https://vk.com/forumbumerang" w:history="1">
        <w:r>
          <w:rPr>
            <w:rStyle w:val="751"/>
            <w:rFonts w:ascii="Times New Roman" w:hAnsi="Times New Roman" w:cs="Times New Roman" w:eastAsia="Times New Roman"/>
            <w:color w:val="000000"/>
            <w:sz w:val="28"/>
            <w:u w:val="single"/>
          </w:rPr>
          <w:t xml:space="preserve">https://vk.com/forumbumerang</w:t>
        </w:r>
      </w:hyperlink>
      <w:r>
        <w:rPr>
          <w:rFonts w:ascii="Times New Roman" w:hAnsi="Times New Roman" w:cs="Times New Roman" w:eastAsia="Times New Roman"/>
          <w:color w:val="000000"/>
          <w:sz w:val="28"/>
        </w:rPr>
        <w:t xml:space="preserve">, меню «ЗАПИСЬ НА ОНЛАЙН-КОНСУЛЬТАЦИИ».</w:t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График онлайн-консультаций: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с февраля по апрель 2022 года два раза в неделю будут проводиться онлайн-консультации по сценарному мастерству и проверке достоверности исторических фактов; 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с марта по апрель 2022 года два раза в неделю будут проводиться онлайн-консультации по режиссуре монтажа и проверке достоверности исторических фактов.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Каждая Студия или индивидуальный участник могут пройти онлайн-консультации по сценарному мастерству не более 5 раз; по режиссуре монтажа конкурсных медиаработ - не более 5 раз. Студии или индивидуальный участник могут принимать участие в онлайн-консультаци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ях не более трёх раз в месяц. 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Условия участия в онлайн-консультациях: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за сутки до онлайн-консультации участники присылают на почту </w:t>
      </w:r>
      <w:hyperlink r:id="rId20" w:tooltip="mailto:hello@forumbumerang.ru" w:history="1">
        <w:r>
          <w:rPr>
            <w:rStyle w:val="751"/>
            <w:rFonts w:ascii="Times New Roman" w:hAnsi="Times New Roman" w:cs="Times New Roman" w:eastAsia="Times New Roman"/>
            <w:color w:val="0563C1"/>
            <w:sz w:val="28"/>
            <w:u w:val="none"/>
          </w:rPr>
          <w:t xml:space="preserve">hello@forumbumerang.ru</w:t>
        </w:r>
      </w:hyperlink>
      <w:r>
        <w:rPr>
          <w:rFonts w:ascii="Times New Roman" w:hAnsi="Times New Roman" w:cs="Times New Roman" w:eastAsia="Times New Roman"/>
          <w:color w:val="000000"/>
          <w:sz w:val="28"/>
        </w:rPr>
        <w:t xml:space="preserve">текст идеи, сценарной заявки, сценария или часть смонтированной медиаработы, чтобы к моменту онлайн-консультации сценарист-коуч, архивист-коуч или монтажер-коуч могли подготовить рекомендации по улучшению качества медиаработы;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на онлайн-консультацию участники Студий выходят группами – не менее трех подростков и руководитель медиастудии;</w:t>
      </w:r>
      <w:r/>
    </w:p>
    <w:p>
      <w:pPr>
        <w:ind w:left="0" w:right="0" w:firstLine="36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каждый раз по окончании онлайн-консультации в группе Студии или индивидуального участника в социальной сети ВКонтакте с хештегом #Непокорённые участники выкладывают отчетный пост с фото и информацией о том, как прошла консультация, что изменилось в медиа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работе, которая готовится на конкурс; пост должен находиться в ВК не менее года; в конце поста должна быть фраза «</w:t>
      </w: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Проект «Без срока давности: непокорённые» реализуется с использованием гранта Президента Российской Федерации на развитие гражданского общества, предоставленного Фондом президентских грантов».</w:t>
      </w:r>
      <w:r/>
    </w:p>
    <w:p>
      <w:pPr>
        <w:ind w:left="0" w:right="0" w:firstLine="360"/>
        <w:jc w:val="both"/>
        <w:spacing w:lineRule="atLeast" w:line="320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При оценке присланной на Конкурс медиаработы, Студии или индивидуальные участники, прошедшие онлайн-консультацию, получат к итоговой оценке каждого своего фильма один дополнительный балл. Общее количество дополнительных баллов за прохождение онлайн-консуль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таций не может быть более 10.</w:t>
      </w:r>
      <w:r/>
    </w:p>
    <w:p>
      <w:pPr>
        <w:ind w:left="0" w:right="0" w:firstLine="36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Студии или индивидуальные участники, не выполнившие условия онлайн-консультаций, лишаются дополнительных баллов. </w:t>
      </w:r>
      <w:r/>
    </w:p>
    <w:p>
      <w:pPr>
        <w:ind w:left="0" w:right="0" w:firstLine="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3.4. Критерии оценки Конкурсного задания: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- соответствие теме конкурса, авторское решение – до 20 баллов;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- оригинальность, уникальность материала – до 20 баллов;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- режиссерское решение – до 20 баллов;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- операторское решение – до 20 баллов;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- правильность и полнота оформления титров – до 10 баллов.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Максимальная оценка за конкурсное задание – 90 баллов. </w:t>
      </w:r>
      <w:r/>
    </w:p>
    <w:p>
      <w:pPr>
        <w:ind w:left="0" w:right="0" w:firstLine="0"/>
        <w:jc w:val="both"/>
        <w:spacing w:lineRule="atLeast" w:line="32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567"/>
        <w:jc w:val="both"/>
        <w:spacing w:lineRule="atLeast" w:line="32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3.5. Порядок размещения титров в конкурсной медиаработе:</w:t>
      </w:r>
      <w:r/>
    </w:p>
    <w:p>
      <w:pPr>
        <w:ind w:left="0" w:right="0" w:firstLine="567"/>
        <w:jc w:val="both"/>
        <w:spacing w:lineRule="atLeast" w:line="32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а) титры в начале медиаработы должны включать:</w:t>
      </w:r>
      <w:r/>
    </w:p>
    <w:p>
      <w:pPr>
        <w:ind w:left="0" w:right="0" w:firstLine="567"/>
        <w:jc w:val="both"/>
        <w:spacing w:lineRule="atLeast" w:line="32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название медиастудии, представляющей фильм (в случае коллективной работы);</w:t>
      </w:r>
      <w:r/>
    </w:p>
    <w:p>
      <w:pPr>
        <w:ind w:left="0" w:right="0" w:firstLine="567"/>
        <w:jc w:val="both"/>
        <w:spacing w:lineRule="atLeast" w:line="32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название медиаработы;</w:t>
      </w:r>
      <w:r/>
    </w:p>
    <w:p>
      <w:pPr>
        <w:ind w:left="0" w:right="0" w:firstLine="567"/>
        <w:jc w:val="both"/>
        <w:spacing w:lineRule="atLeast" w:line="32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б) титры в конце работы должны включать:</w:t>
      </w:r>
      <w:r/>
    </w:p>
    <w:p>
      <w:pPr>
        <w:ind w:left="0" w:right="0" w:firstLine="567"/>
        <w:jc w:val="both"/>
        <w:spacing w:lineRule="atLeast" w:line="32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название медиастудии, представляющей фильм (в случае коллективной работы);</w:t>
      </w:r>
      <w:r/>
    </w:p>
    <w:p>
      <w:pPr>
        <w:ind w:left="0" w:right="0" w:firstLine="567"/>
        <w:jc w:val="both"/>
        <w:spacing w:lineRule="atLeast" w:line="32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название медиаработы;</w:t>
      </w:r>
      <w:r/>
    </w:p>
    <w:p>
      <w:pPr>
        <w:ind w:left="0" w:right="0" w:firstLine="567"/>
        <w:jc w:val="both"/>
        <w:spacing w:lineRule="atLeast" w:line="32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фамилии и имена авторов всех участников создания медиаработы, в том числе и актёров;</w:t>
      </w:r>
      <w:r/>
    </w:p>
    <w:p>
      <w:pPr>
        <w:ind w:left="0" w:right="0" w:firstLine="567"/>
        <w:jc w:val="both"/>
        <w:spacing w:lineRule="atLeast" w:line="32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фио руководителя медиастудии (в случае коллективной работы);</w:t>
      </w:r>
      <w:r/>
    </w:p>
    <w:p>
      <w:pPr>
        <w:ind w:left="0" w:right="0" w:firstLine="567"/>
        <w:jc w:val="both"/>
        <w:spacing w:lineRule="atLeast" w:line="32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используемую в фильме музыку;</w:t>
      </w:r>
      <w:r/>
    </w:p>
    <w:p>
      <w:pPr>
        <w:ind w:left="0" w:right="0" w:firstLine="567"/>
        <w:jc w:val="both"/>
        <w:spacing w:lineRule="atLeast" w:line="32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год и город съемки;</w:t>
      </w:r>
      <w:r/>
    </w:p>
    <w:p>
      <w:pPr>
        <w:ind w:left="0" w:right="0" w:firstLine="567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фразу «Фильм создан для участия во Всероссийском заочном конкурсе подростковых медиаработ «Без срока давности: непокорённые», который осуществляется </w:t>
      </w:r>
      <w:r>
        <w:rPr>
          <w:rFonts w:ascii="Times New Roman" w:hAnsi="Times New Roman" w:cs="Times New Roman" w:eastAsia="Times New Roman"/>
          <w:color w:val="000000"/>
          <w:sz w:val="28"/>
          <w:highlight w:val="white"/>
        </w:rPr>
        <w:t xml:space="preserve">с использованием гранта Президента Российской Федерации на развитие гражданского общества, предоставленного Фондом президентских грантов. В фильме использованы документы из фонда Российского государственного архива кинофотодокументов».</w:t>
      </w:r>
      <w:r/>
    </w:p>
    <w:p>
      <w:pPr>
        <w:ind w:left="0" w:right="0" w:firstLine="567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 связи со спецификой Конкурса титры оформляются у всех видов конкурсных медиаработ.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3.6. Каждую конкурсную медиаработу оценивают пять экспертов. Результаты каждого эксперта фиксируются в индивидуальном оценочном листе. 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3.7. Конкурсная комиссия имеет право в случае необходимости запрашивать у участников дополнительные материалы или разъяснения, касающиеся конкурсного задания. </w:t>
      </w:r>
      <w:r/>
    </w:p>
    <w:p>
      <w:pPr>
        <w:ind w:left="0" w:right="0" w:firstLine="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3.8. В состав конкурсной комиссии входят: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Владимир Александрович Грамматиков - Председатель жюри, кинорежиссер, заслуженный деятель искусств РФ;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Елена Петровна Малышева – кандидат исторических наук, доцент, Почётный архивист России;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Наталия Александровна Калантарова -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директор Российского государственного архива кинофотодокументов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;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Сергей Борисович Цымбаленко - президент РОО ТО "ЮНПРЕСС", доктор педагогических наук;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Евгений Владиленович Корженков – кинооператор, член Гильдии кинооператоров России (RGS) и Европейской ассоциации кинооператоров (IMAGO).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IV. Подведение итогов Конкурса</w:t>
      </w:r>
      <w:r/>
    </w:p>
    <w:p>
      <w:pPr>
        <w:ind w:left="0" w:right="0" w:firstLine="709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4.1. Итоговое количество баллов за участие в Конкурсе определяется совокупностью оценок за выполнение Конкурсного задания и участие в Онлайн-консультациях.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4.2. При одинаковом количестве баллов победителем объявляется участник, который представил конкурсные документы в более ранний срок.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4.3. Организатор Конкурса размещает информацию о его результатах на официальном сайте </w:t>
      </w:r>
      <w:hyperlink r:id="rId21" w:tooltip="http://www.forumbumerang.ru/" w:history="1">
        <w:r>
          <w:rPr>
            <w:rStyle w:val="751"/>
            <w:rFonts w:ascii="Times New Roman" w:hAnsi="Times New Roman" w:cs="Times New Roman" w:eastAsia="Times New Roman"/>
            <w:color w:val="0563C1"/>
            <w:sz w:val="28"/>
            <w:u w:val="none"/>
          </w:rPr>
          <w:t xml:space="preserve">www.forumbumerang.ru</w:t>
        </w:r>
      </w:hyperlink>
      <w:r>
        <w:rPr>
          <w:rFonts w:ascii="Times New Roman" w:hAnsi="Times New Roman" w:cs="Times New Roman" w:eastAsia="Times New Roman"/>
          <w:color w:val="000000"/>
          <w:sz w:val="28"/>
        </w:rPr>
        <w:t xml:space="preserve"> и в сообществе форума «Бумеранг» ВК - </w:t>
      </w:r>
      <w:hyperlink r:id="rId22" w:tooltip="https://vk.com/forumbumerang" w:history="1">
        <w:r>
          <w:rPr>
            <w:rStyle w:val="751"/>
            <w:rFonts w:ascii="Times New Roman" w:hAnsi="Times New Roman" w:cs="Times New Roman" w:eastAsia="Times New Roman"/>
            <w:color w:val="0563C1"/>
            <w:sz w:val="28"/>
            <w:u w:val="none"/>
          </w:rPr>
          <w:t xml:space="preserve">https://vk.com/forumbumerang</w:t>
        </w:r>
      </w:hyperlink>
      <w:r>
        <w:rPr>
          <w:rFonts w:ascii="Times New Roman" w:hAnsi="Times New Roman" w:cs="Times New Roman" w:eastAsia="Times New Roman"/>
          <w:color w:val="000000"/>
          <w:sz w:val="28"/>
        </w:rPr>
        <w:t xml:space="preserve">.   </w:t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4.4. Победитель Конкурса может получить статус медиалидера и стать участником трехдневной Образовательной программы в июне 2022 года в Москве, включающей две Презентации фильмов в Доме кино и на Городском экране архитектурно-скульптурного пространства, пос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вященного фронтовому кинооператору (г. Красногорск, Московской области), а также экскурсий в Российский государственный архив кинофотодокументов и Красногорский филиал Музея Победы (Московская область). 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 случае победы в Конкурсе медиалидеров, которые занимаются в Студии, шесть детей и руководитель Студии станут участниками Образовательной программы в Москве. Организатор Конкурса оплачивает проживание и питание медиалидеров, а также руководителя Студии (п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ри условии, что статус медиалидера будет присвоен не менее шести обучающимся Студии). Проезд участников и руководителя Студии осуществляется за счет направляющей стороны. </w:t>
      </w:r>
      <w:r/>
    </w:p>
    <w:p>
      <w:pPr>
        <w:ind w:left="0" w:right="0" w:firstLine="709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 случае победы в Конкурсе медиалидеров – индивидуальных участников, организатор Конкурса оплачивает проживание и питание медиалидеров.  Проезд медиалидеров осуществляется за счет направляющей стороны. Участие  медиалидера в Образовательной программе в Мос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кве возможно только при сопровождении взрослого. Проезд, проживание и питание сопровождающего взрослого оплачивает направляющая сторона.</w:t>
      </w:r>
      <w:r/>
    </w:p>
    <w:p>
      <w:pPr>
        <w:ind w:left="0" w:right="0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15 лучших фильмов Конкурса войдут в Киноальманах. Несколько фильмов Киноальманаха получат диплом «Фильм, удостоенный государственного хранения» и будет принят РГАКФД на вечное хранение. Для публичного просмотра фильмы Киноальманаха будут размещены на сай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те Федерального проекта «Без срока давности». </w:t>
      </w:r>
      <w:r/>
    </w:p>
    <w:p>
      <w:pPr>
        <w:ind w:left="0" w:right="0" w:firstLine="708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120" w:right="120" w:firstLine="0"/>
        <w:spacing w:after="120" w:before="12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br w:type="page"/>
      </w:r>
      <w:r/>
    </w:p>
    <w:p>
      <w:pPr>
        <w:ind w:left="0" w:right="0" w:firstLine="0"/>
        <w:jc w:val="right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Приложение 1</w:t>
      </w:r>
      <w:r/>
    </w:p>
    <w:p>
      <w:pPr>
        <w:ind w:left="0" w:right="0" w:firstLine="0"/>
        <w:jc w:val="right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/>
    </w:p>
    <w:p>
      <w:pPr>
        <w:ind w:left="0" w:right="0" w:firstLine="0"/>
        <w:jc w:val="center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СОГЛАСИЕ</w:t>
      </w:r>
      <w:r/>
    </w:p>
    <w:p>
      <w:pPr>
        <w:ind w:left="0" w:right="0" w:firstLine="0"/>
        <w:jc w:val="center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на участие в образовательной программе в Москве в июне 2022 года</w:t>
      </w:r>
      <w:r/>
    </w:p>
    <w:p>
      <w:pPr>
        <w:ind w:left="0" w:right="0" w:firstLine="0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8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28"/>
        </w:rPr>
        <w:t xml:space="preserve">Я,</w:t>
      </w:r>
      <w:r>
        <w:rPr>
          <w:rFonts w:ascii="Times New Roman" w:hAnsi="Times New Roman" w:cs="Times New Roman" w:eastAsia="Times New Roman"/>
          <w:b/>
          <w:color w:val="00000A"/>
          <w:sz w:val="28"/>
        </w:rPr>
        <w:t xml:space="preserve">________________________________________________________________________,</w:t>
      </w:r>
      <w:r/>
    </w:p>
    <w:p>
      <w:pPr>
        <w:ind w:left="0" w:right="0" w:firstLine="0"/>
        <w:jc w:val="center"/>
        <w:spacing w:lineRule="atLeast" w:line="8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20"/>
        </w:rPr>
        <w:t xml:space="preserve">(Ф.И.О. родителя или законного представителя/ребёнка при достижении 14 лет)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 соответствии с результатами Конкурса даю своё согласие на участие __________________________________________________________________________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000000"/>
          <w:sz w:val="20"/>
        </w:rPr>
        <w:t xml:space="preserve">(Ф.И.О. участника-победителя конкурса)</w:t>
      </w:r>
      <w:r/>
    </w:p>
    <w:p>
      <w:pPr>
        <w:ind w:left="0" w:right="0" w:firstLine="0"/>
        <w:jc w:val="both"/>
        <w:spacing w:lineRule="atLeast" w:line="8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 образовательной программе, включающей Презентации фильмов в Москве в Доме кино и на Городском экране архитектурно-скульптурного пространства, посвященного фронтовому кинооператору (г. Красногорск, Московской области), а также экскурсий в Российский госу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дарственный архив кинофотодокументов и Красногорский филиал Музея Победы (Московская область).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Дата заполнения</w:t>
        <w:tab/>
        <w:tab/>
        <w:tab/>
        <w:tab/>
        <w:tab/>
        <w:tab/>
        <w:tab/>
        <w:t xml:space="preserve">      Подпись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jc w:val="both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120" w:right="120" w:firstLine="0"/>
        <w:spacing w:after="120" w:before="12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br w:type="page"/>
      </w:r>
      <w:r/>
    </w:p>
    <w:p>
      <w:pPr>
        <w:ind w:left="0" w:right="0" w:firstLine="0"/>
        <w:jc w:val="right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1"/>
        </w:rPr>
        <w:t xml:space="preserve">Приложение 2</w:t>
      </w:r>
      <w:r/>
    </w:p>
    <w:p>
      <w:pPr>
        <w:ind w:left="0" w:right="0" w:firstLine="540"/>
        <w:jc w:val="center"/>
        <w:spacing w:after="0" w:before="0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1"/>
        </w:rPr>
        <w:t xml:space="preserve">СОГЛАСИЕ</w:t>
      </w:r>
      <w:r/>
    </w:p>
    <w:p>
      <w:pPr>
        <w:ind w:left="0" w:right="0" w:firstLine="540"/>
        <w:jc w:val="center"/>
        <w:spacing w:after="0" w:before="0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1"/>
        </w:rPr>
        <w:t xml:space="preserve">на использование и обработку персональных данных</w:t>
      </w:r>
      <w:r/>
    </w:p>
    <w:p>
      <w:pPr>
        <w:ind w:left="0" w:right="0" w:firstLine="540"/>
        <w:jc w:val="center"/>
        <w:spacing w:after="0" w:before="0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 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18"/>
        </w:rPr>
        <w:t xml:space="preserve">Я, </w:t>
      </w:r>
      <w:r>
        <w:rPr>
          <w:rFonts w:ascii="Times New Roman" w:hAnsi="Times New Roman" w:cs="Times New Roman" w:eastAsia="Times New Roman"/>
          <w:b/>
          <w:color w:val="00000A"/>
          <w:sz w:val="18"/>
        </w:rPr>
        <w:t xml:space="preserve">_________________________________________________________________________________________________________________,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18"/>
        </w:rPr>
        <w:t xml:space="preserve">ФИО родителя или законного представителя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18"/>
        </w:rPr>
        <w:t xml:space="preserve">паспорт ___________ _____________, выдан _____________________________________________________________________________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18"/>
        </w:rPr>
        <w:t xml:space="preserve">серия                   номер                                                              когда, кем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18"/>
        </w:rPr>
        <w:t xml:space="preserve">___________________________________________________________________________________________________________________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18"/>
        </w:rPr>
        <w:t xml:space="preserve">___________________________________________________________________________________________________________________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18"/>
        </w:rPr>
        <w:t xml:space="preserve">(в случае опекунства / попечительства указать реквизиты документа, на основании которого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18"/>
        </w:rPr>
        <w:t xml:space="preserve"> осуществляется опека или попечительство)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18"/>
        </w:rPr>
        <w:t xml:space="preserve">___________________________________________________________________________________________________________________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18"/>
        </w:rPr>
        <w:t xml:space="preserve">адрес проживания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18"/>
        </w:rPr>
        <w:t xml:space="preserve">являющийся родителем (законным представителем) ребенка ____________________________________________________________________________________________________________________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18"/>
        </w:rPr>
        <w:t xml:space="preserve">фамилия, имя, отчество ребенка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18"/>
        </w:rPr>
        <w:t xml:space="preserve">паспорт (свидетельство о рождении) _______ _____________, выдан _________________________________________________________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18"/>
        </w:rPr>
        <w:tab/>
        <w:tab/>
        <w:tab/>
        <w:tab/>
        <w:t xml:space="preserve">серия             номер                                           когда, кем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18"/>
        </w:rPr>
        <w:t xml:space="preserve">____________________________________________________________________________________________________________________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18"/>
        </w:rPr>
        <w:t xml:space="preserve">____________________________________________________________________________________________________________________</w:t>
      </w:r>
      <w:r/>
    </w:p>
    <w:p>
      <w:pPr>
        <w:ind w:left="0" w:right="0" w:firstLine="0"/>
        <w:spacing w:after="0" w:before="0"/>
        <w:tabs>
          <w:tab w:val="left" w:pos="70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18"/>
        </w:rPr>
        <w:t xml:space="preserve">адрес проживания</w:t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на основании Семейного кодекса РФ и Федерального закона от 27.07.2006 г. № 152-ФЗ  «О персональных данных» даю согласие на обработку своих персональных данных и персональных данных ребенка (далее Ребенок) Межрегиональной общественной организации «Детское м</w:t>
      </w:r>
      <w:r>
        <w:rPr>
          <w:rFonts w:ascii="Times New Roman" w:hAnsi="Times New Roman" w:cs="Times New Roman" w:eastAsia="Times New Roman"/>
          <w:color w:val="000000"/>
          <w:sz w:val="18"/>
        </w:rPr>
        <w:t xml:space="preserve">едийное объединение «Бумеранг»  (далее МОО ДМО «Бумеранг»), расположенному по адресу: 101000,  г. Москва, ул.  Мясницкая,   дом  №  22, строение 1, офис 8 в связи с проведением Всероссийского заочного конкурса подростковых медиаработ «Без срока давности: н</w:t>
      </w:r>
      <w:r>
        <w:rPr>
          <w:rFonts w:ascii="Times New Roman" w:hAnsi="Times New Roman" w:cs="Times New Roman" w:eastAsia="Times New Roman"/>
          <w:color w:val="000000"/>
          <w:sz w:val="18"/>
        </w:rPr>
        <w:t xml:space="preserve">епокорённые»  и направлением победителей для участия в июне 2022 года образовательной программы в Москве.</w:t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</w:t>
      </w:r>
      <w:r>
        <w:rPr>
          <w:rFonts w:ascii="Times New Roman" w:hAnsi="Times New Roman" w:cs="Times New Roman" w:eastAsia="Times New Roman"/>
          <w:color w:val="000000"/>
          <w:sz w:val="18"/>
        </w:rPr>
        <w:t xml:space="preserve">и мобильного телефона, место работы, номер служебного телефона, дополнительные данные, которые я сообщил(а) в заявлении, договоре, других заполняемых мною документах.</w:t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ab/>
        <w:t xml:space="preserve"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</w:t>
      </w:r>
      <w:r>
        <w:rPr>
          <w:rFonts w:ascii="Times New Roman" w:hAnsi="Times New Roman" w:cs="Times New Roman" w:eastAsia="Times New Roman"/>
          <w:color w:val="000000"/>
          <w:sz w:val="18"/>
        </w:rPr>
        <w:t xml:space="preserve">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</w:t>
      </w:r>
      <w:r>
        <w:rPr>
          <w:rFonts w:ascii="Times New Roman" w:hAnsi="Times New Roman" w:cs="Times New Roman" w:eastAsia="Times New Roman"/>
          <w:color w:val="000000"/>
          <w:sz w:val="18"/>
        </w:rPr>
        <w:t xml:space="preserve">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ab/>
        <w:t xml:space="preserve">Вышеуказанные персональные данные представлены с целью: использования МОО ДМО «Бумеранг» для формирования организацией единого банка данных контингента детей в целях осуществления образовательнойдеятельности, индивидуального учета результатов усвоения дет</w:t>
      </w:r>
      <w:r>
        <w:rPr>
          <w:rFonts w:ascii="Times New Roman" w:hAnsi="Times New Roman" w:cs="Times New Roman" w:eastAsia="Times New Roman"/>
          <w:color w:val="000000"/>
          <w:sz w:val="18"/>
        </w:rPr>
        <w:t xml:space="preserve">ьмиобразовательных программ, хранения в архивах сведений об этих результатах;фото и видео съемки моего ребенка во время участия в образовательных программах и проектах, реализуемых МОО ДМО «Бумеранг»; использования фото, видео и информационных материалов  </w:t>
      </w:r>
      <w:r>
        <w:rPr>
          <w:rFonts w:ascii="Times New Roman" w:hAnsi="Times New Roman" w:cs="Times New Roman" w:eastAsia="Times New Roman"/>
          <w:color w:val="000000"/>
          <w:sz w:val="18"/>
        </w:rPr>
        <w:t xml:space="preserve">для коммерческих, рекламных и промо целей, связанных с деятельностью МОО ДМО «Бумеранг»; использования при наполнении информационных ресурсов – сайта и социальных сетей МОО ДМО «Бумеранг» и печатных СМИ.</w:t>
      </w:r>
      <w:r/>
    </w:p>
    <w:p>
      <w:pPr>
        <w:ind w:left="0" w:right="0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фотографии и изображение могут быть скопированы, представлены и сделаны достоя</w:t>
      </w:r>
      <w:r>
        <w:rPr>
          <w:rFonts w:ascii="Times New Roman" w:hAnsi="Times New Roman" w:cs="Times New Roman" w:eastAsia="Times New Roman"/>
          <w:color w:val="000000"/>
          <w:sz w:val="18"/>
        </w:rPr>
        <w:t xml:space="preserve">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 ста</w:t>
      </w:r>
      <w:r>
        <w:rPr>
          <w:rFonts w:ascii="Times New Roman" w:hAnsi="Times New Roman" w:cs="Times New Roman" w:eastAsia="Times New Roman"/>
          <w:color w:val="000000"/>
          <w:sz w:val="18"/>
        </w:rPr>
        <w:t xml:space="preserve">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ab/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</w:t>
      </w:r>
      <w:r>
        <w:rPr>
          <w:rFonts w:ascii="Times New Roman" w:hAnsi="Times New Roman" w:cs="Times New Roman" w:eastAsia="Times New Roman"/>
          <w:color w:val="000000"/>
          <w:sz w:val="18"/>
        </w:rPr>
        <w:t xml:space="preserve">й организации, по письменному запросу уполномоченных организаций, обезличивание и уничтожение персональных данных.</w:t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ab/>
        <w:t xml:space="preserve">Я даю согласие на передачу всего объема персональных данных: в архив организации и (при необходимости) в другие архивы для хранения; транспортным компаниям; туристским и страховым компаниям; миграционной службе; медицинским и лечебным организациям и учреж</w:t>
      </w:r>
      <w:r>
        <w:rPr>
          <w:rFonts w:ascii="Times New Roman" w:hAnsi="Times New Roman" w:cs="Times New Roman" w:eastAsia="Times New Roman"/>
          <w:color w:val="000000"/>
          <w:sz w:val="18"/>
        </w:rPr>
        <w:t xml:space="preserve">дениям; иным юридическим и физическим лицам – исключительно для нужд обеспечения участия Ребенка в образовательных программах МОО ДМО «Бумеранг» (при обязательном условии соблюдения конфиденциальности персональных данных), а также на блокирование и уничтож</w:t>
      </w:r>
      <w:r>
        <w:rPr>
          <w:rFonts w:ascii="Times New Roman" w:hAnsi="Times New Roman" w:cs="Times New Roman" w:eastAsia="Times New Roman"/>
          <w:color w:val="000000"/>
          <w:sz w:val="18"/>
        </w:rPr>
        <w:t xml:space="preserve">ение персональных данных.</w:t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ab/>
        <w:t xml:space="preserve"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  <w:r/>
    </w:p>
    <w:p>
      <w:pPr>
        <w:ind w:left="0" w:right="0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Данное согласие действует в соответствии с архивным законодательством.</w:t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ab/>
        <w:t xml:space="preserve">Я оставляю за собой право отозвать настоящее согласие, письменно уведомив об этом МОО ДМО «Бумеранг». В случае получения моего письменного заявления об отзыве настоящего согласия МОО ДМО «Бумеранг» обязана прекратить обработку или обеспечить прекращение о</w:t>
      </w:r>
      <w:r>
        <w:rPr>
          <w:rFonts w:ascii="Times New Roman" w:hAnsi="Times New Roman" w:cs="Times New Roman" w:eastAsia="Times New Roman"/>
          <w:color w:val="000000"/>
          <w:sz w:val="18"/>
        </w:rPr>
        <w:t xml:space="preserve">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Об уничтожении персональных данных МОО ДМО «Бумеранг» обязана уведомить меня в письменной форме.</w:t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 </w:t>
      </w:r>
      <w:r/>
      <w:r>
        <w:rPr>
          <w:rFonts w:ascii="Times New Roman" w:hAnsi="Times New Roman" w:cs="Times New Roman" w:eastAsia="Times New Roman"/>
          <w:color w:val="000000"/>
          <w:sz w:val="18"/>
        </w:rPr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«____» _____________ 2021 г.                                                    ________________ / ___________________________</w:t>
      </w:r>
      <w:r/>
    </w:p>
    <w:p>
      <w:pPr>
        <w:ind w:left="0" w:right="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                                                                                                             Подпись                       Фамилия, инициалы</w:t>
      </w:r>
      <w:r/>
      <w:r/>
      <w:r/>
    </w:p>
    <w:p>
      <w:pPr>
        <w:ind w:left="0" w:right="0" w:firstLine="0"/>
        <w:jc w:val="right"/>
        <w:spacing w:lineRule="atLeast" w:line="85"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1"/>
        </w:rPr>
        <w:t xml:space="preserve">Приложение 3</w:t>
      </w:r>
      <w:r/>
    </w:p>
    <w:p>
      <w:pPr>
        <w:ind w:left="708" w:right="1441" w:firstLine="708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0"/>
      </w:pPr>
      <w:r>
        <w:rPr>
          <w:rFonts w:ascii="Times New Roman" w:hAnsi="Times New Roman" w:cs="Times New Roman" w:eastAsia="Times New Roman"/>
          <w:b/>
          <w:color w:val="000000"/>
          <w:sz w:val="21"/>
        </w:rPr>
        <w:t xml:space="preserve">СОГЛАСИЕ (РАЗРЕШИТЕЛЬНОЕ ПИСЬМО)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1"/>
        </w:rPr>
        <w:t xml:space="preserve">на передачу неисключительных прав на аудиовизуальные произведения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1"/>
        </w:rPr>
        <w:t xml:space="preserve">(далее медиапродукцию)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 </w:t>
      </w:r>
      <w:r/>
    </w:p>
    <w:p>
      <w:pPr>
        <w:ind w:left="0" w:right="298" w:firstLine="0"/>
        <w:jc w:val="right"/>
        <w:spacing w:after="0" w:before="0"/>
        <w:tabs>
          <w:tab w:val="left" w:pos="7679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г. _________________                                                                                    «___» ___________2022г.</w:t>
      </w:r>
      <w:r/>
    </w:p>
    <w:p>
      <w:pPr>
        <w:ind w:left="0" w:right="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2"/>
        </w:rPr>
        <w:t xml:space="preserve"> 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22"/>
        </w:rPr>
        <w:t xml:space="preserve">Я,</w:t>
      </w:r>
      <w:r>
        <w:rPr>
          <w:rFonts w:ascii="Times New Roman" w:hAnsi="Times New Roman" w:cs="Times New Roman" w:eastAsia="Times New Roman"/>
          <w:b/>
          <w:color w:val="00000A"/>
          <w:sz w:val="22"/>
        </w:rPr>
        <w:t xml:space="preserve">____________________________________________________________________________________________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22"/>
        </w:rPr>
        <w:t xml:space="preserve">(ФИО)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22"/>
        </w:rPr>
        <w:t xml:space="preserve">паспорт ________ ______________, выдан _________________________________________________________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22"/>
        </w:rPr>
        <w:t xml:space="preserve">(серия,  номер)                                                          (когда, кем)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22"/>
        </w:rPr>
        <w:t xml:space="preserve">______________________________________________________________________________________________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22"/>
        </w:rPr>
        <w:t xml:space="preserve"> 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22"/>
        </w:rPr>
        <w:t xml:space="preserve">______________________________________________________________________________________________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22"/>
        </w:rPr>
        <w:t xml:space="preserve">(адрес)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22"/>
        </w:rPr>
        <w:t xml:space="preserve">даю согласие на использование медиапродукции, созданной нашей медиастудией,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22"/>
        </w:rPr>
        <w:t xml:space="preserve"> 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22"/>
        </w:rPr>
        <w:t xml:space="preserve">______________________________________________________________________________________________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22"/>
        </w:rPr>
        <w:t xml:space="preserve">(наименование медиастудии)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22"/>
        </w:rPr>
        <w:t xml:space="preserve"> 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A"/>
          <w:sz w:val="22"/>
        </w:rPr>
        <w:t xml:space="preserve">______________________________________________________________________________________________</w:t>
      </w:r>
      <w:r/>
    </w:p>
    <w:p>
      <w:pPr>
        <w:ind w:left="101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A"/>
          <w:sz w:val="22"/>
        </w:rPr>
        <w:t xml:space="preserve">(адрес нахождения медиастудии)</w:t>
      </w:r>
      <w:r/>
    </w:p>
    <w:p>
      <w:pPr>
        <w:ind w:left="72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1"/>
        </w:rPr>
        <w:t xml:space="preserve"> </w:t>
      </w:r>
      <w:r/>
    </w:p>
    <w:p>
      <w:pPr>
        <w:ind w:left="101" w:right="284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1.Являясь</w:t>
        <w:tab/>
        <w:t xml:space="preserve">правообладателем </w:t>
        <w:tab/>
        <w:t xml:space="preserve">(представителем</w:t>
        <w:tab/>
      </w:r>
      <w:r>
        <w:rPr>
          <w:rFonts w:ascii="Times New Roman" w:hAnsi="Times New Roman" w:cs="Times New Roman" w:eastAsia="Times New Roman"/>
          <w:color w:val="000000"/>
          <w:spacing w:val="-1"/>
          <w:sz w:val="18"/>
        </w:rPr>
        <w:t xml:space="preserve">правообладателя)</w:t>
      </w:r>
      <w:r>
        <w:rPr>
          <w:rFonts w:ascii="Times New Roman" w:hAnsi="Times New Roman" w:cs="Times New Roman" w:eastAsia="Times New Roman"/>
          <w:color w:val="000000"/>
          <w:sz w:val="18"/>
        </w:rPr>
        <w:t xml:space="preserve">исключительных прав намедиапродукцию, предоставленную на II Всероссийский заочный конкурс подростковых медиаработ «Без срока давности: непокорённые»:</w:t>
      </w:r>
      <w:r/>
    </w:p>
    <w:p>
      <w:pPr>
        <w:ind w:left="101" w:right="284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1"/>
        </w:rPr>
        <w:t xml:space="preserve"> </w:t>
      </w:r>
      <w:r/>
    </w:p>
    <w:p>
      <w:pPr>
        <w:ind w:left="101" w:right="-3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1"/>
        </w:rPr>
        <w:t xml:space="preserve">__________________________________________________________________________________________________</w:t>
      </w:r>
      <w:r/>
    </w:p>
    <w:p>
      <w:pPr>
        <w:ind w:left="0" w:right="-3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Указывается наименование медиаработы, год создания, хронометраж</w:t>
      </w:r>
      <w:r/>
    </w:p>
    <w:p>
      <w:pPr>
        <w:ind w:left="0" w:right="-3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 </w:t>
      </w:r>
      <w:r/>
    </w:p>
    <w:p>
      <w:pPr>
        <w:ind w:left="101" w:right="-3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______________________________________________________________________________________________</w:t>
      </w:r>
      <w:r/>
    </w:p>
    <w:p>
      <w:pPr>
        <w:ind w:left="0" w:right="-3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Указывается наименование медиаработы, год создания, хронометраж</w:t>
      </w:r>
      <w:r/>
    </w:p>
    <w:p>
      <w:pPr>
        <w:ind w:left="0" w:right="-3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 </w:t>
      </w:r>
      <w:r/>
    </w:p>
    <w:p>
      <w:pPr>
        <w:ind w:left="101" w:right="-3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______________________________________________________________________________________________</w:t>
      </w:r>
      <w:r/>
    </w:p>
    <w:p>
      <w:pPr>
        <w:ind w:left="0" w:right="-3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Указывается наименование медиаработы, год создания, хронометраж</w:t>
      </w:r>
      <w:r/>
    </w:p>
    <w:p>
      <w:pPr>
        <w:ind w:left="0" w:right="-3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 </w:t>
      </w:r>
      <w:r/>
    </w:p>
    <w:p>
      <w:pPr>
        <w:ind w:left="101" w:right="-30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______________________________________________________________________________________________</w:t>
      </w:r>
      <w:r/>
    </w:p>
    <w:p>
      <w:pPr>
        <w:ind w:left="0" w:right="-3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18"/>
        </w:rPr>
        <w:t xml:space="preserve">Указывается наименование медиаработы, год создания, хронометраж</w:t>
      </w:r>
      <w:r/>
    </w:p>
    <w:p>
      <w:pPr>
        <w:ind w:left="101" w:right="112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ind w:left="0" w:right="283" w:firstLine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0"/>
        </w:rPr>
        <w:t xml:space="preserve">даю Согласие Межрегиональной общественной организации «Детское медийное объединение «Бумеранг»,  расположенной по адресу: 101000,  г. Москва,  ул. Мясницкая,   дом   №  22, строение 1, офис 8 на использование указанной медиапродукции для публичного некомме</w:t>
      </w:r>
      <w:r>
        <w:rPr>
          <w:rFonts w:ascii="Times New Roman" w:hAnsi="Times New Roman" w:cs="Times New Roman" w:eastAsia="Times New Roman"/>
          <w:color w:val="000000"/>
          <w:sz w:val="20"/>
        </w:rPr>
        <w:t xml:space="preserve">рческого показа, т.е. любую демонстрацию медиапродукции в месте, открытом для свободного посещения, в том числе в сетиИнтернет.</w:t>
      </w:r>
      <w:r/>
    </w:p>
    <w:p>
      <w:pPr>
        <w:ind w:left="0" w:right="283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0"/>
        </w:rPr>
        <w:t xml:space="preserve">Я, как правообладатель (представитель правообладателя) медиапродукции, разрешаю МОО ДМО «Бумеранг» использовать их на безвозмездной основе бессрочно и на территории всех странмира.</w:t>
      </w:r>
      <w:r/>
    </w:p>
    <w:p>
      <w:pPr>
        <w:ind w:left="0" w:right="99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0"/>
        </w:rPr>
        <w:t xml:space="preserve">Настоящим Согласием (Разрешительным письмом) правообладатель (представитель правообладателя) гарантирует, что он является законным обладателем прав на медиапродукцию, предоставляемую МОО ДМО «Бумеранг».</w:t>
      </w:r>
      <w:r/>
    </w:p>
    <w:p>
      <w:pPr>
        <w:ind w:left="0" w:right="99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0"/>
        </w:rPr>
        <w:t xml:space="preserve">Правообладатель (представитель правообладателя) гарантирует наличие у него согласия правообладателей медиапродукции на использование показа медиапродукции третьими лицами без выплаты им вознаграждения, а также на передачу третьим лицам прав.</w:t>
      </w:r>
      <w:r/>
    </w:p>
    <w:p>
      <w:pPr>
        <w:ind w:left="0" w:right="99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0"/>
        </w:rPr>
        <w:t xml:space="preserve"> Правообладатель гарантирует, что предоставленные в рамках настоящего Согласия (Разрешительного письма) права не нарушает прав третьих лиц, а также чьи-либо авторские и смежные права.</w:t>
      </w:r>
      <w:r/>
    </w:p>
    <w:p>
      <w:pPr>
        <w:ind w:left="0" w:right="99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0"/>
        </w:rPr>
        <w:t xml:space="preserve">В случае возникновения претензий и исков со стороны третьих лиц по предмету использования МОО ДМО «Бумеранг» показа медиапродукции Правообладатель обязуется принять такие претензии и иски на себя и разрешить их самостоятельно и за свой счет.</w:t>
      </w:r>
      <w:r/>
    </w:p>
    <w:p>
      <w:pPr>
        <w:ind w:left="0" w:right="99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0"/>
        </w:rPr>
        <w:t xml:space="preserve">Правообладатель гарантирует, что к МОО ДМО «Бумеранг» не могут быть предъявлены никакие требования третьих лиц о выплате вознаграждений за показ медиапродукции.</w:t>
      </w:r>
      <w:r/>
    </w:p>
    <w:p>
      <w:pPr>
        <w:ind w:left="0" w:right="99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0"/>
        </w:rPr>
        <w:t xml:space="preserve"> </w:t>
      </w:r>
      <w:r/>
    </w:p>
    <w:p>
      <w:pPr>
        <w:ind w:left="0" w:right="99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0"/>
        </w:rPr>
        <w:t xml:space="preserve">Настоящее Согласие (Разрешительное письмо) действует бессрочно на территории стран всего мира.</w:t>
      </w:r>
      <w:r/>
    </w:p>
    <w:p>
      <w:pPr>
        <w:ind w:left="0" w:right="99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0"/>
        </w:rPr>
        <w:t xml:space="preserve"> </w:t>
      </w:r>
      <w:r/>
    </w:p>
    <w:p>
      <w:pPr>
        <w:ind w:left="0" w:right="99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0"/>
        </w:rPr>
        <w:t xml:space="preserve"> </w:t>
      </w:r>
      <w:r/>
    </w:p>
    <w:p>
      <w:pPr>
        <w:ind w:left="0" w:right="99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0"/>
        </w:rPr>
        <w:t xml:space="preserve">____________________________________________________________/ ________________</w:t>
      </w:r>
      <w:r/>
    </w:p>
    <w:p>
      <w:pPr>
        <w:ind w:left="0" w:right="99" w:firstLine="708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0"/>
        </w:rPr>
        <w:t xml:space="preserve">           Фамилия, имя, отчество полностью собственноручно                             </w:t>
        <w:tab/>
        <w:t xml:space="preserve"> Подпись</w:t>
      </w:r>
      <w:r/>
      <w:r>
        <w:rPr>
          <w:rFonts w:ascii="Times New Roman" w:hAnsi="Times New Roman" w:cs="Times New Roman" w:eastAsia="Times New Roman"/>
          <w:color w:val="000000"/>
          <w:sz w:val="21"/>
        </w:rPr>
      </w:r>
      <w:r/>
    </w:p>
    <w:sectPr>
      <w:footerReference w:type="default" r:id="rId9"/>
      <w:footerReference w:type="even" r:id="rId10"/>
      <w:footnotePr/>
      <w:endnotePr/>
      <w:type w:val="nextPage"/>
      <w:pgSz w:w="11901" w:h="16840" w:orient="portrait"/>
      <w:pgMar w:top="720" w:right="720" w:bottom="720" w:left="72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times new roman bold italic">
    <w:panose1 w:val="02000500000000020004"/>
  </w:font>
  <w:font w:name="Symbol">
    <w:panose1 w:val="05010000000000000000"/>
  </w:font>
  <w:font w:name="nttimes/cyrillic">
    <w:panose1 w:val="020005000000000200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44127447"/>
      <w:docPartObj>
        <w:docPartGallery w:val="Page Numbers (Bottom of Page)"/>
        <w:docPartUnique w:val="true"/>
      </w:docPartObj>
      <w:rPr/>
    </w:sdtPr>
    <w:sdtContent>
      <w:p>
        <w:pPr>
          <w:pStyle w:val="761"/>
          <w:rPr>
            <w:rStyle w:val="763"/>
          </w:rPr>
          <w:framePr w:wrap="none" w:vAnchor="text" w:hAnchor="margin" w:xAlign="right" w:y="1"/>
        </w:pPr>
        <w:r>
          <w:rPr>
            <w:rStyle w:val="763"/>
          </w:rPr>
          <w:fldChar w:fldCharType="begin"/>
        </w:r>
        <w:r>
          <w:rPr>
            <w:rStyle w:val="763"/>
          </w:rPr>
          <w:instrText xml:space="preserve"> PAGE </w:instrText>
        </w:r>
        <w:r>
          <w:rPr>
            <w:rStyle w:val="763"/>
          </w:rPr>
          <w:fldChar w:fldCharType="separate"/>
        </w:r>
        <w:r>
          <w:rPr>
            <w:rStyle w:val="763"/>
          </w:rPr>
          <w:t xml:space="preserve">23</w:t>
        </w:r>
        <w:r>
          <w:rPr>
            <w:rStyle w:val="763"/>
          </w:rPr>
          <w:fldChar w:fldCharType="end"/>
        </w:r>
        <w:r/>
      </w:p>
    </w:sdtContent>
  </w:sdt>
  <w:p>
    <w:pPr>
      <w:pStyle w:val="761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94640805"/>
      <w:docPartObj>
        <w:docPartGallery w:val="Page Numbers (Bottom of Page)"/>
        <w:docPartUnique w:val="true"/>
      </w:docPartObj>
      <w:rPr/>
    </w:sdtPr>
    <w:sdtContent>
      <w:p>
        <w:pPr>
          <w:pStyle w:val="761"/>
          <w:rPr>
            <w:rStyle w:val="763"/>
          </w:rPr>
          <w:framePr w:wrap="none" w:vAnchor="text" w:hAnchor="margin" w:xAlign="right" w:y="1"/>
        </w:pPr>
        <w:r>
          <w:rPr>
            <w:rStyle w:val="763"/>
          </w:rPr>
          <w:fldChar w:fldCharType="begin"/>
        </w:r>
        <w:r>
          <w:rPr>
            <w:rStyle w:val="763"/>
          </w:rPr>
          <w:instrText xml:space="preserve"> PAGE </w:instrText>
        </w:r>
        <w:r>
          <w:rPr>
            <w:rStyle w:val="763"/>
          </w:rPr>
          <w:fldChar w:fldCharType="end"/>
        </w:r>
        <w:r/>
      </w:p>
    </w:sdtContent>
  </w:sdt>
  <w:p>
    <w:pPr>
      <w:pStyle w:val="761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5"/>
      <w:numFmt w:val="decimal"/>
      <w:isLgl/>
      <w:suff w:val="tab"/>
      <w:lvlText w:val="%1.%2."/>
      <w:lvlJc w:val="left"/>
      <w:pPr>
        <w:ind w:left="1006" w:hanging="580"/>
      </w:pPr>
      <w:rPr>
        <w:rFonts w:eastAsia="Calibri"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146" w:hanging="720"/>
      </w:pPr>
      <w:rPr>
        <w:rFonts w:eastAsia="Calibri"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146" w:hanging="720"/>
      </w:pPr>
      <w:rPr>
        <w:rFonts w:eastAsia="Calibri"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506" w:hanging="1080"/>
      </w:pPr>
      <w:rPr>
        <w:rFonts w:eastAsia="Calibri"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506" w:hanging="1080"/>
      </w:pPr>
      <w:rPr>
        <w:rFonts w:eastAsia="Calibri"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66" w:hanging="1440"/>
      </w:pPr>
      <w:rPr>
        <w:rFonts w:eastAsia="Calibri"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66" w:hanging="1440"/>
      </w:pPr>
      <w:rPr>
        <w:rFonts w:eastAsia="Calibri"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226" w:hanging="1800"/>
      </w:pPr>
      <w:rPr>
        <w:rFonts w:eastAsia="Calibri"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isLgl w:val="false"/>
      <w:suff w:val="tab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696" w:hanging="2160"/>
      </w:pPr>
      <w:rPr>
        <w:rFonts w:eastAsia="Times New Roman"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41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901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61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 w:val="false"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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7"/>
      <w:numFmt w:val="decimal"/>
      <w:isLgl w:val="false"/>
      <w:suff w:val="tab"/>
      <w:lvlText w:val="%1.%2."/>
      <w:lvlJc w:val="left"/>
      <w:pPr>
        <w:ind w:left="786" w:hanging="360"/>
      </w:pPr>
      <w:rPr>
        <w:rFonts w:eastAsia="Calibri"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20"/>
  </w:num>
  <w:num w:numId="3">
    <w:abstractNumId w:val="18"/>
  </w:num>
  <w:num w:numId="4">
    <w:abstractNumId w:val="28"/>
  </w:num>
  <w:num w:numId="5">
    <w:abstractNumId w:val="2"/>
  </w:num>
  <w:num w:numId="6">
    <w:abstractNumId w:val="29"/>
  </w:num>
  <w:num w:numId="7">
    <w:abstractNumId w:val="0"/>
  </w:num>
  <w:num w:numId="8">
    <w:abstractNumId w:val="10"/>
  </w:num>
  <w:num w:numId="9">
    <w:abstractNumId w:val="7"/>
  </w:num>
  <w:num w:numId="10">
    <w:abstractNumId w:val="17"/>
  </w:num>
  <w:num w:numId="11">
    <w:abstractNumId w:val="24"/>
  </w:num>
  <w:num w:numId="12">
    <w:abstractNumId w:val="16"/>
  </w:num>
  <w:num w:numId="13">
    <w:abstractNumId w:val="12"/>
  </w:num>
  <w:num w:numId="14">
    <w:abstractNumId w:val="19"/>
  </w:num>
  <w:num w:numId="15">
    <w:abstractNumId w:val="6"/>
  </w:num>
  <w:num w:numId="16">
    <w:abstractNumId w:val="31"/>
  </w:num>
  <w:num w:numId="17">
    <w:abstractNumId w:val="3"/>
  </w:num>
  <w:num w:numId="18">
    <w:abstractNumId w:val="1"/>
  </w:num>
  <w:num w:numId="19">
    <w:abstractNumId w:val="15"/>
  </w:num>
  <w:num w:numId="20">
    <w:abstractNumId w:val="11"/>
  </w:num>
  <w:num w:numId="21">
    <w:abstractNumId w:val="22"/>
  </w:num>
  <w:num w:numId="22">
    <w:abstractNumId w:val="26"/>
  </w:num>
  <w:num w:numId="23">
    <w:abstractNumId w:val="14"/>
  </w:num>
  <w:num w:numId="24">
    <w:abstractNumId w:val="9"/>
  </w:num>
  <w:num w:numId="25">
    <w:abstractNumId w:val="5"/>
  </w:num>
  <w:num w:numId="26">
    <w:abstractNumId w:val="4"/>
  </w:num>
  <w:num w:numId="27">
    <w:abstractNumId w:val="27"/>
  </w:num>
  <w:num w:numId="28">
    <w:abstractNumId w:val="21"/>
  </w:num>
  <w:num w:numId="29">
    <w:abstractNumId w:val="23"/>
  </w:num>
  <w:num w:numId="30">
    <w:abstractNumId w:val="25"/>
  </w:num>
  <w:num w:numId="31">
    <w:abstractNumId w:val="8"/>
  </w:num>
  <w:num w:numId="32">
    <w:abstractNumId w:val="3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4"/>
        <w:szCs w:val="24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746"/>
    <w:link w:val="745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44"/>
    <w:next w:val="744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746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44"/>
    <w:next w:val="744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746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44"/>
    <w:next w:val="744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746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44"/>
    <w:next w:val="744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746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44"/>
    <w:next w:val="744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746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44"/>
    <w:next w:val="744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746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44"/>
    <w:next w:val="744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746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44"/>
    <w:next w:val="744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746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744"/>
    <w:next w:val="744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746"/>
    <w:link w:val="32"/>
    <w:uiPriority w:val="10"/>
    <w:rPr>
      <w:sz w:val="48"/>
      <w:szCs w:val="48"/>
    </w:rPr>
  </w:style>
  <w:style w:type="paragraph" w:styleId="34">
    <w:name w:val="Subtitle"/>
    <w:basedOn w:val="744"/>
    <w:next w:val="744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746"/>
    <w:link w:val="34"/>
    <w:uiPriority w:val="11"/>
    <w:rPr>
      <w:sz w:val="24"/>
      <w:szCs w:val="24"/>
    </w:rPr>
  </w:style>
  <w:style w:type="paragraph" w:styleId="36">
    <w:name w:val="Quote"/>
    <w:basedOn w:val="744"/>
    <w:next w:val="744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44"/>
    <w:next w:val="744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744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746"/>
    <w:link w:val="40"/>
    <w:uiPriority w:val="99"/>
  </w:style>
  <w:style w:type="character" w:styleId="43">
    <w:name w:val="Footer Char"/>
    <w:basedOn w:val="746"/>
    <w:link w:val="761"/>
    <w:uiPriority w:val="99"/>
  </w:style>
  <w:style w:type="paragraph" w:styleId="44">
    <w:name w:val="Caption"/>
    <w:basedOn w:val="744"/>
    <w:next w:val="74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761"/>
    <w:uiPriority w:val="99"/>
  </w:style>
  <w:style w:type="table" w:styleId="47">
    <w:name w:val="Table Grid Light"/>
    <w:basedOn w:val="74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74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747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74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74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74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74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74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74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74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7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2">
    <w:name w:val="Lined - Accent 1"/>
    <w:basedOn w:val="7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53">
    <w:name w:val="Lined - Accent 2"/>
    <w:basedOn w:val="7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54">
    <w:name w:val="Lined - Accent 3"/>
    <w:basedOn w:val="7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55">
    <w:name w:val="Lined - Accent 4"/>
    <w:basedOn w:val="7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56">
    <w:name w:val="Lined - Accent 5"/>
    <w:basedOn w:val="7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57">
    <w:name w:val="Lined - Accent 6"/>
    <w:basedOn w:val="7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58">
    <w:name w:val="Bordered &amp; Lined - Accent"/>
    <w:basedOn w:val="7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9">
    <w:name w:val="Bordered &amp; Lined - Accent 1"/>
    <w:basedOn w:val="7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60">
    <w:name w:val="Bordered &amp; Lined - Accent 2"/>
    <w:basedOn w:val="7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61">
    <w:name w:val="Bordered &amp; Lined - Accent 3"/>
    <w:basedOn w:val="7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62">
    <w:name w:val="Bordered &amp; Lined - Accent 4"/>
    <w:basedOn w:val="7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63">
    <w:name w:val="Bordered &amp; Lined - Accent 5"/>
    <w:basedOn w:val="7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64">
    <w:name w:val="Bordered &amp; Lined - Accent 6"/>
    <w:basedOn w:val="74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65">
    <w:name w:val="Bordered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74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744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746"/>
    <w:uiPriority w:val="99"/>
    <w:unhideWhenUsed/>
    <w:rPr>
      <w:vertAlign w:val="superscript"/>
    </w:rPr>
  </w:style>
  <w:style w:type="paragraph" w:styleId="176">
    <w:name w:val="endnote text"/>
    <w:basedOn w:val="744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746"/>
    <w:uiPriority w:val="99"/>
    <w:semiHidden/>
    <w:unhideWhenUsed/>
    <w:rPr>
      <w:vertAlign w:val="superscript"/>
    </w:rPr>
  </w:style>
  <w:style w:type="paragraph" w:styleId="179">
    <w:name w:val="toc 1"/>
    <w:basedOn w:val="744"/>
    <w:next w:val="744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44"/>
    <w:next w:val="744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44"/>
    <w:next w:val="744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44"/>
    <w:next w:val="744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44"/>
    <w:next w:val="74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44"/>
    <w:next w:val="74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44"/>
    <w:next w:val="74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44"/>
    <w:next w:val="74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44"/>
    <w:next w:val="74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44"/>
    <w:next w:val="744"/>
    <w:uiPriority w:val="99"/>
    <w:unhideWhenUsed/>
    <w:pPr>
      <w:spacing w:after="0" w:afterAutospacing="0"/>
    </w:pPr>
  </w:style>
  <w:style w:type="paragraph" w:styleId="744" w:default="1">
    <w:name w:val="Normal"/>
    <w:qFormat/>
    <w:rPr>
      <w:rFonts w:ascii="Times New Roman" w:hAnsi="Times New Roman" w:cs="Times New Roman" w:eastAsia="Times New Roman"/>
      <w:lang w:eastAsia="ru-RU"/>
    </w:rPr>
  </w:style>
  <w:style w:type="paragraph" w:styleId="745">
    <w:name w:val="Heading 1"/>
    <w:basedOn w:val="744"/>
    <w:next w:val="744"/>
    <w:link w:val="767"/>
    <w:qFormat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en-US"/>
    </w:rPr>
    <w:pPr>
      <w:keepLines/>
      <w:keepNext/>
      <w:spacing w:lineRule="auto" w:line="276" w:before="240"/>
      <w:outlineLvl w:val="0"/>
    </w:pPr>
  </w:style>
  <w:style w:type="character" w:styleId="746" w:default="1">
    <w:name w:val="Default Paragraph Font"/>
    <w:uiPriority w:val="1"/>
    <w:semiHidden/>
    <w:unhideWhenUsed/>
  </w:style>
  <w:style w:type="table" w:styleId="7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8" w:default="1">
    <w:name w:val="No List"/>
    <w:uiPriority w:val="99"/>
    <w:semiHidden/>
    <w:unhideWhenUsed/>
  </w:style>
  <w:style w:type="paragraph" w:styleId="749">
    <w:name w:val="List Paragraph"/>
    <w:basedOn w:val="744"/>
    <w:qFormat/>
    <w:uiPriority w:val="34"/>
    <w:rPr>
      <w:rFonts w:ascii="Calibri" w:hAnsi="Calibri" w:eastAsia="Calibri"/>
      <w:sz w:val="22"/>
      <w:szCs w:val="22"/>
      <w:lang w:eastAsia="en-US"/>
    </w:rPr>
    <w:pPr>
      <w:contextualSpacing w:val="true"/>
      <w:ind w:left="720"/>
      <w:jc w:val="center"/>
    </w:pPr>
  </w:style>
  <w:style w:type="character" w:styleId="750">
    <w:name w:val="Strong"/>
    <w:qFormat/>
    <w:uiPriority w:val="99"/>
    <w:rPr>
      <w:b/>
      <w:bCs/>
    </w:rPr>
  </w:style>
  <w:style w:type="character" w:styleId="751">
    <w:name w:val="Hyperlink"/>
    <w:uiPriority w:val="99"/>
    <w:rPr>
      <w:color w:val="0563C1"/>
      <w:u w:val="single"/>
    </w:rPr>
  </w:style>
  <w:style w:type="paragraph" w:styleId="752">
    <w:name w:val="Normal (Web)"/>
    <w:basedOn w:val="744"/>
    <w:uiPriority w:val="99"/>
    <w:unhideWhenUsed/>
    <w:pPr>
      <w:spacing w:after="100" w:afterAutospacing="1" w:before="100" w:beforeAutospacing="1"/>
    </w:pPr>
  </w:style>
  <w:style w:type="character" w:styleId="753" w:customStyle="1">
    <w:name w:val="Неразрешенное упоминание1"/>
    <w:basedOn w:val="746"/>
    <w:uiPriority w:val="99"/>
    <w:semiHidden/>
    <w:unhideWhenUsed/>
    <w:rPr>
      <w:color w:val="605E5C"/>
      <w:shd w:val="clear" w:fill="E1DFDD" w:color="auto"/>
    </w:rPr>
  </w:style>
  <w:style w:type="paragraph" w:styleId="754">
    <w:name w:val="Body Text"/>
    <w:basedOn w:val="744"/>
    <w:link w:val="755"/>
    <w:rPr>
      <w:rFonts w:ascii="NTTimes/Cyrillic" w:hAnsi="NTTimes/Cyrillic" w:eastAsia="Calibri"/>
      <w:sz w:val="20"/>
      <w:szCs w:val="20"/>
    </w:rPr>
    <w:pPr>
      <w:spacing w:after="120"/>
    </w:pPr>
  </w:style>
  <w:style w:type="character" w:styleId="755" w:customStyle="1">
    <w:name w:val="Основной текст Знак"/>
    <w:basedOn w:val="746"/>
    <w:link w:val="754"/>
    <w:rPr>
      <w:rFonts w:ascii="NTTimes/Cyrillic" w:hAnsi="NTTimes/Cyrillic" w:cs="Times New Roman" w:eastAsia="Calibri"/>
      <w:sz w:val="20"/>
      <w:szCs w:val="20"/>
    </w:rPr>
  </w:style>
  <w:style w:type="paragraph" w:styleId="756" w:customStyle="1">
    <w:name w:val="Обычный1"/>
    <w:uiPriority w:val="99"/>
    <w:rPr>
      <w:rFonts w:ascii="Times New Roman Bold Italic" w:hAnsi="Times New Roman Bold Italic" w:cs="Times New Roman" w:eastAsia="Times New Roman"/>
      <w:color w:val="000000"/>
      <w:sz w:val="28"/>
      <w:szCs w:val="28"/>
    </w:rPr>
    <w:pPr>
      <w:ind w:firstLine="540"/>
      <w:jc w:val="center"/>
      <w:tabs>
        <w:tab w:val="left" w:pos="708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912" w:leader="none"/>
      </w:tabs>
    </w:pPr>
  </w:style>
  <w:style w:type="paragraph" w:styleId="757" w:customStyle="1">
    <w:name w:val="Базовый"/>
    <w:uiPriority w:val="99"/>
    <w:rPr>
      <w:rFonts w:ascii="Calibri" w:hAnsi="Calibri" w:cs="Times New Roman" w:eastAsia="Times New Roman"/>
      <w:color w:val="00000A"/>
      <w:sz w:val="22"/>
      <w:szCs w:val="22"/>
    </w:rPr>
    <w:pPr>
      <w:spacing w:lineRule="atLeast" w:line="276" w:after="200"/>
      <w:tabs>
        <w:tab w:val="left" w:pos="709" w:leader="none"/>
      </w:tabs>
    </w:pPr>
  </w:style>
  <w:style w:type="character" w:styleId="758" w:customStyle="1">
    <w:name w:val="Цветовое выделение"/>
    <w:uiPriority w:val="99"/>
    <w:rPr>
      <w:b/>
      <w:color w:val="26282F"/>
    </w:rPr>
  </w:style>
  <w:style w:type="character" w:styleId="759" w:customStyle="1">
    <w:name w:val="Неразрешенное упоминание2"/>
    <w:basedOn w:val="746"/>
    <w:uiPriority w:val="99"/>
    <w:semiHidden/>
    <w:unhideWhenUsed/>
    <w:rPr>
      <w:color w:val="605E5C"/>
      <w:shd w:val="clear" w:fill="E1DFDD" w:color="auto"/>
    </w:rPr>
  </w:style>
  <w:style w:type="character" w:styleId="760">
    <w:name w:val="FollowedHyperlink"/>
    <w:basedOn w:val="746"/>
    <w:uiPriority w:val="99"/>
    <w:semiHidden/>
    <w:unhideWhenUsed/>
    <w:rPr>
      <w:color w:val="954F72" w:themeColor="followedHyperlink"/>
      <w:u w:val="single"/>
    </w:rPr>
  </w:style>
  <w:style w:type="paragraph" w:styleId="761">
    <w:name w:val="Footer"/>
    <w:basedOn w:val="744"/>
    <w:link w:val="762"/>
    <w:uiPriority w:val="99"/>
    <w:unhideWhenUsed/>
    <w:rPr>
      <w:rFonts w:ascii="Calibri" w:hAnsi="Calibri" w:eastAsia="Calibri"/>
      <w:sz w:val="22"/>
      <w:szCs w:val="22"/>
      <w:lang w:eastAsia="en-US"/>
    </w:rPr>
    <w:pPr>
      <w:jc w:val="center"/>
      <w:tabs>
        <w:tab w:val="center" w:pos="4677" w:leader="none"/>
        <w:tab w:val="right" w:pos="9355" w:leader="none"/>
      </w:tabs>
    </w:pPr>
  </w:style>
  <w:style w:type="character" w:styleId="762" w:customStyle="1">
    <w:name w:val="Нижний колонтитул Знак"/>
    <w:basedOn w:val="746"/>
    <w:link w:val="761"/>
    <w:uiPriority w:val="99"/>
    <w:rPr>
      <w:rFonts w:ascii="Calibri" w:hAnsi="Calibri" w:cs="Times New Roman" w:eastAsia="Calibri"/>
      <w:sz w:val="22"/>
      <w:szCs w:val="22"/>
    </w:rPr>
  </w:style>
  <w:style w:type="character" w:styleId="763">
    <w:name w:val="page number"/>
    <w:basedOn w:val="746"/>
    <w:uiPriority w:val="99"/>
    <w:semiHidden/>
    <w:unhideWhenUsed/>
  </w:style>
  <w:style w:type="paragraph" w:styleId="764">
    <w:name w:val="Balloon Text"/>
    <w:basedOn w:val="744"/>
    <w:link w:val="765"/>
    <w:uiPriority w:val="99"/>
    <w:semiHidden/>
    <w:unhideWhenUsed/>
    <w:rPr>
      <w:sz w:val="18"/>
      <w:szCs w:val="18"/>
    </w:rPr>
  </w:style>
  <w:style w:type="character" w:styleId="765" w:customStyle="1">
    <w:name w:val="Текст выноски Знак"/>
    <w:basedOn w:val="746"/>
    <w:link w:val="764"/>
    <w:uiPriority w:val="99"/>
    <w:semiHidden/>
    <w:rPr>
      <w:rFonts w:ascii="Times New Roman" w:hAnsi="Times New Roman" w:cs="Times New Roman" w:eastAsia="Calibri"/>
      <w:sz w:val="18"/>
      <w:szCs w:val="18"/>
    </w:rPr>
  </w:style>
  <w:style w:type="character" w:styleId="766">
    <w:name w:val="Unresolved Mention"/>
    <w:basedOn w:val="746"/>
    <w:uiPriority w:val="99"/>
    <w:semiHidden/>
    <w:unhideWhenUsed/>
    <w:rPr>
      <w:color w:val="605E5C"/>
      <w:shd w:val="clear" w:fill="E1DFDD" w:color="auto"/>
    </w:rPr>
  </w:style>
  <w:style w:type="character" w:styleId="767" w:customStyle="1">
    <w:name w:val="Заголовок 1 Знак"/>
    <w:basedOn w:val="746"/>
    <w:link w:val="745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768">
    <w:name w:val="Table Grid"/>
    <w:basedOn w:val="747"/>
    <w:uiPriority w:val="39"/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character" w:styleId="769" w:customStyle="1">
    <w:name w:val="docdata"/>
    <w:basedOn w:val="746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Relationship Id="rId13" Type="http://schemas.openxmlformats.org/officeDocument/2006/relationships/hyperlink" Target="http://forumbumerang.ru/" TargetMode="External"/><Relationship Id="rId14" Type="http://schemas.openxmlformats.org/officeDocument/2006/relationships/hyperlink" Target="http://xn--e1aaokcaebgn7jzc.xn--p1ai/" TargetMode="External"/><Relationship Id="rId15" Type="http://schemas.openxmlformats.org/officeDocument/2006/relationships/hyperlink" Target="mailto:hello@forumbumerang.ru" TargetMode="External"/><Relationship Id="rId16" Type="http://schemas.openxmlformats.org/officeDocument/2006/relationships/hyperlink" Target="mailto:hello@forumbumerang.ru" TargetMode="External"/><Relationship Id="rId17" Type="http://schemas.openxmlformats.org/officeDocument/2006/relationships/hyperlink" Target="http://xn--e1aaokcaebgn7jzc.xn--p1ai/" TargetMode="External"/><Relationship Id="rId18" Type="http://schemas.openxmlformats.org/officeDocument/2006/relationships/hyperlink" Target="mailto:hello@forumbumerang.ru" TargetMode="External"/><Relationship Id="rId19" Type="http://schemas.openxmlformats.org/officeDocument/2006/relationships/hyperlink" Target="https://vk.com/forumbumerang" TargetMode="External"/><Relationship Id="rId20" Type="http://schemas.openxmlformats.org/officeDocument/2006/relationships/hyperlink" Target="mailto:hello@forumbumerang.ru" TargetMode="External"/><Relationship Id="rId21" Type="http://schemas.openxmlformats.org/officeDocument/2006/relationships/hyperlink" Target="http://www.forumbumerang.ru/" TargetMode="External"/><Relationship Id="rId22" Type="http://schemas.openxmlformats.org/officeDocument/2006/relationships/hyperlink" Target="https://vk.com/forumbumeran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R7-Office/6.3.1.43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Васильева</dc:creator>
  <cp:keywords/>
  <dc:description/>
  <cp:lastModifiedBy>Natalja Vasiljewa</cp:lastModifiedBy>
  <cp:revision>465</cp:revision>
  <dcterms:created xsi:type="dcterms:W3CDTF">2019-12-27T13:34:00Z</dcterms:created>
  <dcterms:modified xsi:type="dcterms:W3CDTF">2022-02-07T15:07:50Z</dcterms:modified>
</cp:coreProperties>
</file>