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widowControl w:val="off"/>
        <w:rPr>
          <w:b/>
          <w:highlight w:val="none"/>
        </w:rPr>
      </w:pPr>
      <w:r>
        <w:rPr>
          <w:b/>
        </w:rPr>
      </w:r>
      <w:r/>
    </w:p>
    <w:p>
      <w:pPr>
        <w:jc w:val="center"/>
        <w:widowControl w:val="off"/>
        <w:rPr>
          <w:b/>
        </w:rPr>
      </w:pPr>
      <w:r>
        <w:rPr>
          <w:b/>
        </w:rPr>
      </w:r>
      <w:r>
        <w:rPr>
          <w:b/>
        </w:rPr>
      </w:r>
    </w:p>
    <w:p>
      <w:pPr>
        <w:ind w:left="0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93752" cy="4065363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093752" cy="4065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79.8pt;height:320.1pt;" stroked="false">
                <v:path textboxrect="0,0,0,0"/>
                <v:imagedata r:id="rId12" o:title=""/>
              </v:shape>
            </w:pict>
          </mc:Fallback>
        </mc:AlternateContent>
      </w:r>
      <w:r/>
      <w:r/>
    </w:p>
    <w:p>
      <w:pPr>
        <w:ind w:left="0" w:right="0" w:firstLine="0"/>
        <w:jc w:val="center"/>
        <w:spacing w:lineRule="atLeast" w:line="85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Rule="atLeast" w:line="85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ПОЛОЖЕНИЕ</w:t>
      </w:r>
      <w:r/>
    </w:p>
    <w:p>
      <w:pPr>
        <w:ind w:left="0" w:right="0" w:firstLine="0"/>
        <w:jc w:val="center"/>
        <w:spacing w:lineRule="atLeast" w:line="85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ВСЕРОССИЙСКОГО ЗАОЧНОГО КОНКУРСА ПОДРОСТКОВЫХ МЕДИАРАБОТ </w:t>
      </w:r>
      <w:r/>
    </w:p>
    <w:p>
      <w:pPr>
        <w:ind w:left="0" w:right="0" w:firstLine="0"/>
        <w:jc w:val="center"/>
        <w:spacing w:lineRule="atLeast" w:line="85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«БЕЗ СРОКА ДАВНОСТИ: НЕПОКОРЁННЫЕ»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Настоящее Положение определяет порядок и сроки проведения в 2022 году конкурса (далее – Конкурс) на выявление медиалидеров в создании медиапродукции о мирных советских жителях, которые стали жертвами гитлеровской политики массового уничтожения людей в год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ы Великой Отечественной войны 1941-1945 г.г. (ВОВ). 90 победителям Конкурса будет присвоен статус медиалидеров. 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случае победы в Конкурсе медиалидеры, которые занимаются в кино- или медиастудии, шесть детей и руководитель Студии станут участниками трехдневной образовательной программы, включающей Презентации лучших фильмов в июне 2022 года в Москве в Доме кино и на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 Городском экране архитектурно-скульптурного пространства, посвященного фронтовому кинооператору (г. Красногорск, Московской области), а также экскурсии в Российский государственный архив кинофотодокументов (РГАКФД) и Красногорский филиал Музея Победы (М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осковская область). Организатор Конкурса оплачивает проживание и питание медиалидеров, а также руководителя Студии (при условии, что статус медиалидера будет присвоен не менее шести обучающимся Студии). Проезд участников и руководителя Студии осуществляетс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я за счет направляющей стороны. 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случае победы в Конкурсе медиалидеров – индивидуальных участников, организатор Конкурса оплачивает проживание и питание медиалидеров.  Проезд медиалидеров осуществляется за счет направляющей стороны. Участие  медиалидера в Образовательной программе в Мос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кве возможно только при сопровождении взрослого. Проезд, проживание и питание сопровождающего взрослого оплачивает направляющая сторона.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15 лучших фильмов Конкурса войдут в Киноальманах. Несколько фильмов Киноальманаха получат диплом «Фильм, удостоенный государственного хранения» и будет принят РГАКФД на вечное хранение. Для публичного просмотра фильмы Киноальманаха будут размещены на сай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те Федерального проекта «Без срока давности». 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Организатор Конкурса – Межрегиональная общественная организация «Детское медийное объединение «Бумеранг» (МОО ДМО «Бумеранг»). Проект реализуется при поддержке Фонда президентских грантов, Российского государственного архива кинофотодокументов,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Общероссийского общественного движения по увековечению памяти погибших при защите Отечества «Поисковое движение России», Союза кинематографистов России.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Участникам Конкурса необходимо внимательно познакомиться с Положением Конкурса. Подача заявки на Конкурс предусматривает согласие участника со всеми пунктами Положения.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Организатор Конкурса оставляет за собой право вносить изменения в Положение, вызванные рисками распространения новой коронавирусной инфекции (COVID-19). 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Настоящее Положение подлежит открытой публикации на официальном сайте МОО ДМО «Бумеранг» </w:t>
      </w:r>
      <w:hyperlink r:id="rId13" w:tooltip="http://forumbumerang.ru/" w:history="1">
        <w:r>
          <w:rPr>
            <w:rStyle w:val="751"/>
            <w:rFonts w:ascii="Times New Roman" w:hAnsi="Times New Roman" w:cs="Times New Roman" w:eastAsia="Times New Roman"/>
            <w:color w:val="0563C1"/>
            <w:sz w:val="28"/>
            <w:u w:val="single"/>
          </w:rPr>
          <w:t xml:space="preserve">http://forumbumerang.ru/</w:t>
        </w:r>
      </w:hyperlink>
      <w:r>
        <w:rPr>
          <w:rFonts w:ascii="Times New Roman" w:hAnsi="Times New Roman" w:cs="Times New Roman" w:eastAsia="Times New Roman"/>
          <w:color w:val="000000"/>
          <w:sz w:val="28"/>
        </w:rPr>
        <w:t xml:space="preserve"> и сайте Конкурса   </w:t>
      </w:r>
      <w:hyperlink r:id="rId14" w:tooltip="http://xn--e1aaokcaebgn7jzc.xn--p1ai/" w:history="1">
        <w:r>
          <w:rPr>
            <w:rStyle w:val="751"/>
            <w:rFonts w:ascii="Times New Roman" w:hAnsi="Times New Roman" w:cs="Times New Roman" w:eastAsia="Times New Roman"/>
            <w:color w:val="0563C1"/>
            <w:sz w:val="28"/>
            <w:u w:val="single"/>
          </w:rPr>
          <w:t xml:space="preserve">http://непокорённые.рф</w:t>
        </w:r>
      </w:hyperlink>
      <w:r>
        <w:rPr>
          <w:rFonts w:ascii="Times New Roman" w:hAnsi="Times New Roman" w:cs="Times New Roman" w:eastAsia="Times New Roman"/>
          <w:color w:val="000000"/>
          <w:sz w:val="28"/>
        </w:rPr>
        <w:t xml:space="preserve"> с момента его утверждения. </w:t>
      </w:r>
      <w:r/>
    </w:p>
    <w:p>
      <w:pPr>
        <w:ind w:left="0" w:right="0" w:firstLine="709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Участие в Конкурсе бесплатное. 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 </w:t>
      </w:r>
      <w:r/>
    </w:p>
    <w:p>
      <w:pPr>
        <w:ind w:left="0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I. Участники Конкурса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1.1. Участниками Конкурса являются подростки 12-17 лет (включительно), индивидуальные участники и занимающиеся в детских и юношеских журналистских объединениях, кино- и медиастудиях (далее Студиях).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1.2. В Конкурсе принимают участие граждане РФ и иностранные граждане, имеющие постоянную или временную регистрацию на территории России.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1.3. Заявки на Конкурс принимаются от индивидуальных участников и коллективов (до 3-х человек). От коллектива авторов одной Студии загружается не менее двух фильмов. Каждый индивидуальный участник или Студия может загрузить на Конкурс неограниченное количе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ство фильмов.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1.4. В состав коллектива могут входить представители авторской группы (режиссёр, сценарист, оператор, монтажёр, звукорежиссёр, художник по костюмам, художник по свету, продюсер) и исполнители главных ролей, либо корреспонденты.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1.5. Ограничения по участию в Конкурсе возможны: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по приему детей и проведению конкурсного отбора, предусмотренных данным Положением, а также нормативными актами, действующими на момент проведения данных процедур в случае сохранения ограничительных мер, вызванных рисками распространения новой коронавиру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сной инфекции (COVID-19);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по медицинским противопоказаниям для направления детей-медиалидеров в Москву для участия в презентации фильмов в Москве в Доме кино и на Городском экране архитектурно-скульптурной композиции «Монумент Фронтовому Кинооператору», расположенной в г.о. Кра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сногорск Московской области. Вопросы, связанные с медицинскими противопоказаниями детей-медиалидеров с ограниченными возможностями здоровья, необходимо предварительно согласовать с оргкомитетом Конкурса и получить официальное подтверждение возможности при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ёма их в Москве.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II. Цель, условия и сроки проведения Конкурса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2.1. Цель </w:t>
      </w: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сохранение исторической памяти о трагедии мирного населения СССР – жертв военных преступлений нацистов и их пособников в период Великой Отечественной войны 1941-1945 г.г. посредством создания подростками медиапродукции.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2.2.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Для участия в Конкурсе индивидуальный участник или коллектив должен подготовить и представить следующие материалы: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1) Выполненное конкурсное задание, состоящее из одной медиаработы (для индивидуального участника) и не менее двух медиаработ (для коллектива) в соответствии с выбранными форматами и номинациями; 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2) Участия в онлайн-консультациях;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К участию в Конкурсе допускаются индивидуальные участники и коллективы, обязательно предоставившие материалы по 1-му пункту.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2.3. Присланные конкурсные документы не возвращаются и не рецензируются. Претендент несёт ответственность за подлинность предоставляемых материалов. Демонстрация, апелляция конкурсных заданий и разбор ошибок не предусматривается.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2.4. Максимальная оценка за Конкурс составляет 100 баллов и формируется из оценок за: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конкурсное задание – до 90 баллов;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прохождение онлайн-консультаций (до 10 баллов).</w:t>
      </w:r>
      <w:r/>
    </w:p>
    <w:p>
      <w:pPr>
        <w:ind w:left="0" w:right="0" w:firstLine="0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 2.5. 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Сроки проведения конкурса –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с 1 февраля по 30 апреля (включительно) 2022 года.</w:t>
      </w:r>
      <w:r/>
    </w:p>
    <w:p>
      <w:pPr>
        <w:ind w:left="0" w:right="0" w:firstLine="567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коллективных заявках должно быть не менее трёх авторов. Коллективные заявки подаются руководителем коллектива или медиалидером коллектива.  </w:t>
      </w:r>
      <w:r/>
    </w:p>
    <w:p>
      <w:pPr>
        <w:ind w:left="0" w:right="0" w:firstLine="0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2.6. Работа конкурсной комиссии завершается не позднее 22 мая 2022 года публикацией на официальном сайте МОО ДМО «Бумеранг» рейтинга всех участников Конкурса, на основании которого определяются победители Конкурса и резерв (участники Конкурса, не вошедшие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в квоту победителей, но расположенные в рейтинге сразу после победителей). </w:t>
      </w:r>
      <w:r/>
    </w:p>
    <w:p>
      <w:pPr>
        <w:ind w:left="0" w:right="0" w:firstLine="0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2.7. В период с 23 по 31 мая 2022 года победители Конкурса (при достижении 14 лет) или их родители (законные представители) должны подтвердить своё участие/неучастие в образовательной программе в Москве по электронной почте </w:t>
      </w:r>
      <w:hyperlink r:id="rId15" w:tooltip="mailto:hello@forumbumerang.ru" w:history="1">
        <w:r>
          <w:rPr>
            <w:rStyle w:val="751"/>
            <w:rFonts w:ascii="Times New Roman" w:hAnsi="Times New Roman" w:cs="Times New Roman" w:eastAsia="Times New Roman"/>
            <w:color w:val="0563C1"/>
            <w:sz w:val="28"/>
            <w:u w:val="none"/>
          </w:rPr>
          <w:t xml:space="preserve">hello@forumbumerang.ru</w:t>
        </w:r>
      </w:hyperlink>
      <w:r>
        <w:rPr>
          <w:rFonts w:ascii="Times New Roman" w:hAnsi="Times New Roman" w:cs="Times New Roman" w:eastAsia="Times New Roman"/>
          <w:color w:val="000000"/>
          <w:sz w:val="28"/>
        </w:rPr>
        <w:t xml:space="preserve"> (Приложение 1).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случае отказа от участия или отсутствия подтверждения со стороны победителя Конкурса в обозначенные сроки, организатор допускает к участию в образовательной программе в Москве участников из числа резерва.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ВАЖНО!!!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 В коллективных заявках </w:t>
      </w:r>
      <w:r>
        <w:rPr>
          <w:rFonts w:ascii="Times New Roman" w:hAnsi="Times New Roman" w:cs="Times New Roman" w:eastAsia="Times New Roman"/>
          <w:b/>
          <w:i/>
          <w:color w:val="000000"/>
          <w:sz w:val="28"/>
        </w:rPr>
        <w:t xml:space="preserve">допускается сделать замену только одного участника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. В этом случае необходимо направить письмо за подписью руководителя коллектива на электронный адрес </w:t>
      </w:r>
      <w:hyperlink r:id="rId16" w:tooltip="mailto:hello@forumbumerang.ru" w:history="1">
        <w:r>
          <w:rPr>
            <w:rStyle w:val="751"/>
            <w:rFonts w:ascii="Times New Roman" w:hAnsi="Times New Roman" w:cs="Times New Roman" w:eastAsia="Times New Roman"/>
            <w:color w:val="0563C1"/>
            <w:sz w:val="28"/>
            <w:u w:val="none"/>
          </w:rPr>
          <w:t xml:space="preserve">hello@forumbumerang.ru</w:t>
        </w:r>
      </w:hyperlink>
      <w:r>
        <w:rPr>
          <w:rFonts w:ascii="Times New Roman" w:hAnsi="Times New Roman" w:cs="Times New Roman" w:eastAsia="Times New Roman"/>
          <w:color w:val="000000"/>
          <w:sz w:val="28"/>
        </w:rPr>
        <w:t xml:space="preserve">с просьбой о замене участника с указанием причины и данными о новом участнике. 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III. Требования к Конкурсному заданию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3.1. В качестве Конкурсного задания на Конкурс предоставляются не менее двух медиаработ (для коллектива) и не менее одной медиаработы (для индивидуального участника), выполненных в одном из визуальных жанров: видеоэссе, буктрейлер, видеостихотворение (хрон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ометраж не более 5 минут).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Конкурсные медиаработы должны быть созданы в 2022 г. Медиаработы, поданные на Конкурс «БЕЗ СРОКА ДАВНОСТИ: НЕПОКОРЁННЫЕ» не могут быть поданы на Всероссийский заочный конкурс подростковых медиаработ «ДИАЛОГ ПОКОЛЕНИЙ-2022».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Конкурсные медиаработы должны соответствовать одной из четырех 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номинаций: 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«ЗАПЛАКАЛА ЗЕМЛЯ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…» - медиаработы о взрослых мирных советских жителях, которые стали жертвами гитлеровской политики массового уничтожения в годы ВОВ; преступлениях нацистов и их пособников, подтверждающих факт геноцида против мирного населения на оккупированной территории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СССР в годы Великой Отечественной войны; о мемориальных комплексах мирным советским жителям; 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«СПРЯЧЬ, МАМОЧКА, МЕНЯ…» – 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медиаработы о советских детях, которые: - стали узниками </w:t>
      </w: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фашистских концлагерей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; - работали и жили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в заводских цехах, спали на рабочих местах, на полу;- столкнулись с трудностями и проблемами эвакуации из прифронтовых районов;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 - выжили на оккупированных территориях на зло врагам;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333333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  <w:highlight w:val="white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ЕГО УВАЖАЛИ В ОТРЯДЕ</w:t>
      </w:r>
      <w:r>
        <w:rPr>
          <w:rFonts w:ascii="Times New Roman" w:hAnsi="Times New Roman" w:cs="Times New Roman" w:eastAsia="Times New Roman"/>
          <w:b/>
          <w:color w:val="000000"/>
          <w:sz w:val="28"/>
          <w:highlight w:val="white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 - медиаработы о добровольцах - подпольщиках и партизанах, которые сражались на  оккупированных фашистами территориях, приближая Победу;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«ЖИЗНЬ КАК ПОДВИГ»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 - медиаработы о людях, получивших медаль «За доблестный труд в Великой Отечественной войне 1941-1945 г.г.»;  благодарной памяти </w:t>
      </w: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нового поколения своим предкам, тем, кто трудился в тылу, ковал Победу на производстве; трудовом подвиге советского народа (в том числе женщин) в годы войны.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основе готовых медиаработ должна быть конкретная история, раскрывающая одну из номинаций.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3.2. 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Приём конкурсных документов осуществляется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на сайте </w:t>
      </w:r>
      <w:hyperlink r:id="rId17" w:tooltip="http://xn--e1aaokcaebgn7jzc.xn--p1ai/" w:history="1">
        <w:r>
          <w:rPr>
            <w:rStyle w:val="751"/>
            <w:rFonts w:ascii="Times New Roman" w:hAnsi="Times New Roman" w:cs="Times New Roman" w:eastAsia="Times New Roman"/>
            <w:color w:val="0563C1"/>
            <w:sz w:val="28"/>
            <w:u w:val="single"/>
          </w:rPr>
          <w:t xml:space="preserve">http://непокорённые.рф</w:t>
        </w:r>
      </w:hyperlink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 с 10 марта по 30 апреля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(включительно)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 2022 года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.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По вопросам технической поддержкиобращаться по телефону: 8(495) 606-06-25 или по электронной почте </w:t>
      </w:r>
      <w:hyperlink r:id="rId18" w:tooltip="mailto:hello@forumbumerang.ru" w:history="1">
        <w:r>
          <w:rPr>
            <w:rStyle w:val="751"/>
            <w:rFonts w:ascii="Times New Roman" w:hAnsi="Times New Roman" w:cs="Times New Roman" w:eastAsia="Times New Roman"/>
            <w:color w:val="000000"/>
            <w:sz w:val="28"/>
            <w:u w:val="none"/>
          </w:rPr>
          <w:t xml:space="preserve">hello@forumbumerang.ru</w:t>
        </w:r>
      </w:hyperlink>
      <w:r>
        <w:rPr>
          <w:rFonts w:ascii="Times New Roman" w:hAnsi="Times New Roman" w:cs="Times New Roman" w:eastAsia="Times New Roman"/>
          <w:color w:val="000000"/>
          <w:sz w:val="28"/>
          <w:u w:val="single"/>
        </w:rPr>
        <w:t xml:space="preserve">.</w:t>
      </w:r>
      <w:r/>
    </w:p>
    <w:p>
      <w:pPr>
        <w:ind w:left="0" w:right="0" w:firstLine="0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567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3.3. У всех участников Конкурса есть возможность безвозмездно воспользоваться услугами Онлайн-кинолаборатории и пройти онлайн-консультации экспертов по подготовке Конкурсного задания. Запись на онлайн-консультации осуществляется в официальной группе фестив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аля-форума «Бумеранг» в социальной сети ВКонтакте по ссылке - </w:t>
      </w:r>
      <w:hyperlink r:id="rId19" w:tooltip="https://vk.com/forumbumerang" w:history="1">
        <w:r>
          <w:rPr>
            <w:rStyle w:val="751"/>
            <w:rFonts w:ascii="Times New Roman" w:hAnsi="Times New Roman" w:cs="Times New Roman" w:eastAsia="Times New Roman"/>
            <w:color w:val="000000"/>
            <w:sz w:val="28"/>
            <w:u w:val="single"/>
          </w:rPr>
          <w:t xml:space="preserve">https://vk.com/forumbumerang</w:t>
        </w:r>
      </w:hyperlink>
      <w:r>
        <w:rPr>
          <w:rFonts w:ascii="Times New Roman" w:hAnsi="Times New Roman" w:cs="Times New Roman" w:eastAsia="Times New Roman"/>
          <w:color w:val="000000"/>
          <w:sz w:val="28"/>
        </w:rPr>
        <w:t xml:space="preserve">, меню «ЗАПИСЬ НА ОНЛАЙН-КОНСУЛЬТАЦИИ».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График онлайн-консультаций: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с февраля по апрель 2022 года два раза в неделю будут проводиться онлайн-консультации по сценарному мастерству и проверке достоверности исторических фактов; 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с марта по апрель 2022 года два раза в неделю будут проводиться онлайн-консультации по режиссуре монтажа и проверке достоверности исторических фактов.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Каждая Студия или индивидуальный участник могут пройти онлайн-консультации по сценарному мастерству не более 5 раз; по режиссуре монтажа конкурсных медиаработ - не более 5 раз. Студии или индивидуальный участник могут принимать участие в онлайн-консультаци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ях не более трёх раз в месяц. 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Условия участия в онлайн-консультациях: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за сутки до онлайн-консультации участники присылают на почту </w:t>
      </w:r>
      <w:hyperlink r:id="rId20" w:tooltip="mailto:hello@forumbumerang.ru" w:history="1">
        <w:r>
          <w:rPr>
            <w:rStyle w:val="751"/>
            <w:rFonts w:ascii="Times New Roman" w:hAnsi="Times New Roman" w:cs="Times New Roman" w:eastAsia="Times New Roman"/>
            <w:color w:val="0563C1"/>
            <w:sz w:val="28"/>
            <w:u w:val="none"/>
          </w:rPr>
          <w:t xml:space="preserve">hello@forumbumerang.ru</w:t>
        </w:r>
      </w:hyperlink>
      <w:r>
        <w:rPr>
          <w:rFonts w:ascii="Times New Roman" w:hAnsi="Times New Roman" w:cs="Times New Roman" w:eastAsia="Times New Roman"/>
          <w:color w:val="000000"/>
          <w:sz w:val="28"/>
        </w:rPr>
        <w:t xml:space="preserve">текст идеи, сценарной заявки, сценария или часть смонтированной медиаработы, чтобы к моменту онлайн-консультации сценарист-коуч, архивист-коуч или монтажер-коуч могли подготовить рекомендации по улучшению качества медиаработы;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на онлайн-консультацию участники Студий выходят группами – не менее трех подростков и руководитель медиастудии;</w:t>
      </w:r>
      <w:r/>
    </w:p>
    <w:p>
      <w:pPr>
        <w:ind w:left="0" w:right="0" w:firstLine="36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каждый раз по окончании онлайн-консультации в группе Студии или индивидуального участника в социальной сети ВКонтакте с хештегом #Непокорённые участники выкладывают отчетный пост с фото и информацией о том, как прошла консультация, что изменилось в медиа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работе, которая готовится на конкурс; пост должен находиться в ВК не менее года; в конце поста должна быть фраза «</w:t>
      </w: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Проект «Без срока давности: непокорённые»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грантов».</w:t>
      </w:r>
      <w:r/>
    </w:p>
    <w:p>
      <w:pPr>
        <w:ind w:left="0" w:right="0" w:firstLine="360"/>
        <w:jc w:val="both"/>
        <w:spacing w:lineRule="atLeast" w:line="320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При оценке присланной на Конкурс медиаработы, Студии или индивидуальные участники, прошедшие онлайн-консультацию, получат к итоговой оценке каждого своего фильма один дополнительный балл. Общее количество дополнительных баллов за прохождение онлайн-консуль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таций не может быть более 10.</w:t>
      </w:r>
      <w:r/>
    </w:p>
    <w:p>
      <w:pPr>
        <w:ind w:left="0" w:right="0" w:firstLine="36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Студии или индивидуальные участники, не выполнившие условия онлайн-консультаций, лишаются дополнительных баллов. </w:t>
      </w:r>
      <w:r/>
    </w:p>
    <w:p>
      <w:pPr>
        <w:ind w:left="0" w:right="0" w:firstLine="0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 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3.4. Критерии оценки Конкурсного задания: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- соответствие теме конкурса, авторское решение – до 20 баллов;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- оригинальность, уникальность материала – до 20 баллов;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- режиссерское решение – до 20 баллов;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- операторское решение – до 20 баллов;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- правильность и полнота оформления титров – до 10 баллов.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Максимальная оценка за конкурсное задание – 90 баллов. </w:t>
      </w:r>
      <w:r/>
    </w:p>
    <w:p>
      <w:pPr>
        <w:ind w:left="0" w:right="0" w:firstLine="0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3.5. Порядок размещения титров в конкурсной медиаработе: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а) титры в начале медиаработы должны включать: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название медиастудии, представляющей фильм (в случае коллективной работы);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название медиаработы;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б) титры в конце работы должны включать: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название медиастудии, представляющей фильм (в случае коллективной работы);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название медиаработы;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фамилии и имена авторов всех участников создания медиаработы, в том числе и актёров;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фио руководителя медиастудии (в случае коллективной работы);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используемую в фильме музыку;</w:t>
      </w:r>
      <w:r/>
    </w:p>
    <w:p>
      <w:pPr>
        <w:ind w:left="0" w:right="0" w:firstLine="567"/>
        <w:jc w:val="both"/>
        <w:spacing w:lineRule="atLeast" w:line="320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год и город съемки;</w:t>
      </w:r>
      <w:r/>
    </w:p>
    <w:p>
      <w:pPr>
        <w:ind w:left="0" w:right="0" w:firstLine="567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- фразу «Фильм создан для участия во Всероссийском заочном конкурсе подростковых медиаработ «Без срока давности: непокорённые», который осуществляется </w:t>
      </w: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с использованием гранта Президента Российской Федерации на развитие гражданского общества, предоставленного Фондом президентских грантов. В фильме использованы документы из фонда Российского государственного архива кинофотодокументов».</w:t>
      </w:r>
      <w:r/>
    </w:p>
    <w:p>
      <w:pPr>
        <w:ind w:left="0" w:right="0" w:firstLine="567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связи со спецификой Конкурса титры оформляются у всех видов конкурсных медиаработ.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3.6. Каждую конкурсную медиаработу оценивают пять экспертов. Результаты каждого эксперта фиксируются в индивидуальном оценочном листе. 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3.7. Конкурсная комиссия имеет право в случае необходимости запрашивать у участников дополнительные материалы или разъяснения, касающиеся конкурсного задания. </w:t>
      </w:r>
      <w:r/>
    </w:p>
    <w:p>
      <w:pPr>
        <w:ind w:left="0" w:right="0" w:firstLine="0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3.8. В состав конкурсной комиссии входят: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Владимир Александрович Грамматиков - Председатель жюри, кинорежиссер, заслуженный деятель искусств РФ;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Елена Петровна Малышева – кандидат исторических наук, доцент, Почётный архивист России;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Наталия Александровна Калантарова -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директор Российского государственного архива кинофотодокументов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;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Сергей Борисович Цымбаленко - президент РОО ТО "ЮНПРЕСС", доктор педагогических наук;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Евгений Владиленович Корженков – кинооператор, член Гильдии кинооператоров России (RGS) и Европейской ассоциации кинооператоров (IMAGO).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IV. Подведение итогов Конкурса</w:t>
      </w:r>
      <w:r/>
    </w:p>
    <w:p>
      <w:pPr>
        <w:ind w:left="0" w:right="0" w:firstLine="709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4.1. Итоговое количество баллов за участие в Конкурсе определяется совокупностью оценок за выполнение Конкурсного задания и участие в Онлайн-консультациях.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4.2. При одинаковом количестве баллов победителем объявляется участник, который представил конкурсные документы в более ранний срок.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4.3. Организатор Конкурса размещает информацию о его результатах на официальном сайте </w:t>
      </w:r>
      <w:hyperlink r:id="rId21" w:tooltip="http://www.forumbumerang.ru/" w:history="1">
        <w:r>
          <w:rPr>
            <w:rStyle w:val="751"/>
            <w:rFonts w:ascii="Times New Roman" w:hAnsi="Times New Roman" w:cs="Times New Roman" w:eastAsia="Times New Roman"/>
            <w:color w:val="0563C1"/>
            <w:sz w:val="28"/>
            <w:u w:val="none"/>
          </w:rPr>
          <w:t xml:space="preserve">www.forumbumerang.ru</w:t>
        </w:r>
      </w:hyperlink>
      <w:r>
        <w:rPr>
          <w:rFonts w:ascii="Times New Roman" w:hAnsi="Times New Roman" w:cs="Times New Roman" w:eastAsia="Times New Roman"/>
          <w:color w:val="000000"/>
          <w:sz w:val="28"/>
        </w:rPr>
        <w:t xml:space="preserve"> и в сообществе форума «Бумеранг» ВК - </w:t>
      </w:r>
      <w:hyperlink r:id="rId22" w:tooltip="https://vk.com/forumbumerang" w:history="1">
        <w:r>
          <w:rPr>
            <w:rStyle w:val="751"/>
            <w:rFonts w:ascii="Times New Roman" w:hAnsi="Times New Roman" w:cs="Times New Roman" w:eastAsia="Times New Roman"/>
            <w:color w:val="0563C1"/>
            <w:sz w:val="28"/>
            <w:u w:val="none"/>
          </w:rPr>
          <w:t xml:space="preserve">https://vk.com/forumbumerang</w:t>
        </w:r>
      </w:hyperlink>
      <w:r>
        <w:rPr>
          <w:rFonts w:ascii="Times New Roman" w:hAnsi="Times New Roman" w:cs="Times New Roman" w:eastAsia="Times New Roman"/>
          <w:color w:val="000000"/>
          <w:sz w:val="28"/>
        </w:rPr>
        <w:t xml:space="preserve">.   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4.4. Победитель Конкурса может получить статус медиалидера и стать участником трехдневной Образовательной программы в июне 2022 года в Москве, включающей две Презентации фильмов в Доме кино и на Городском экране архитектурно-скульптурного пространства, пос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вященного фронтовому кинооператору (г. Красногорск, Московской области), а также экскурсий в Российский государственный архив кинофотодокументов и Красногорский филиал Музея Победы (Московская область). 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случае победы в Конкурсе медиалидеров, которые занимаются в Студии, шесть детей и руководитель Студии станут участниками Образовательной программы в Москве. Организатор Конкурса оплачивает проживание и питание медиалидеров, а также руководителя Студии (п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ри условии, что статус медиалидера будет присвоен не менее шести обучающимся Студии). Проезд участников и руководителя Студии осуществляется за счет направляющей стороны. </w:t>
      </w:r>
      <w:r/>
    </w:p>
    <w:p>
      <w:pPr>
        <w:ind w:left="0" w:right="0" w:firstLine="709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случае победы в Конкурсе медиалидеров – индивидуальных участников, организатор Конкурса оплачивает проживание и питание медиалидеров.  Проезд медиалидеров осуществляется за счет направляющей стороны. Участие  медиалидера в Образовательной программе в Мос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кве возможно только при сопровождении взрослого. Проезд, проживание и питание сопровождающего взрослого оплачивает направляющая сторона.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15 лучших фильмов Конкурса войдут в Киноальманах. Несколько фильмов Киноальманаха получат диплом «Фильм, удостоенный государственного хранения» и будет принят РГАКФД на вечное хранение. Для публичного просмотра фильмы Киноальманаха будут размещены на сай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те Федерального проекта «Без срока давности». </w:t>
      </w:r>
      <w:r/>
    </w:p>
    <w:p>
      <w:pPr>
        <w:ind w:left="0" w:right="0" w:firstLine="708"/>
        <w:jc w:val="both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120" w:right="120" w:firstLine="0"/>
        <w:spacing w:after="120" w:before="12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br w:type="page"/>
      </w:r>
      <w:r/>
    </w:p>
    <w:p>
      <w:pPr>
        <w:ind w:left="0" w:right="0" w:firstLine="0"/>
        <w:jc w:val="right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Приложение 1</w:t>
      </w:r>
      <w:r/>
    </w:p>
    <w:p>
      <w:pPr>
        <w:ind w:left="0" w:right="0" w:firstLine="0"/>
        <w:jc w:val="right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 </w:t>
      </w:r>
      <w:r/>
    </w:p>
    <w:p>
      <w:pPr>
        <w:ind w:left="0" w:right="0" w:firstLine="0"/>
        <w:jc w:val="center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СОГЛАСИЕ</w:t>
      </w:r>
      <w:r/>
    </w:p>
    <w:p>
      <w:pPr>
        <w:ind w:left="0" w:right="0" w:firstLine="0"/>
        <w:jc w:val="center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на участие в образовательной программе в Москве в июне 2022 года</w:t>
      </w:r>
      <w:r/>
    </w:p>
    <w:p>
      <w:pPr>
        <w:ind w:left="0" w:right="0" w:firstLine="0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8"/>
        </w:rPr>
        <w:t xml:space="preserve">Я,</w:t>
      </w:r>
      <w:r>
        <w:rPr>
          <w:rFonts w:ascii="Times New Roman" w:hAnsi="Times New Roman" w:cs="Times New Roman" w:eastAsia="Times New Roman"/>
          <w:b/>
          <w:color w:val="00000A"/>
          <w:sz w:val="28"/>
        </w:rPr>
        <w:t xml:space="preserve">________________________________________________________________________,</w:t>
      </w:r>
      <w:r/>
    </w:p>
    <w:p>
      <w:pPr>
        <w:ind w:left="0" w:right="0" w:firstLine="0"/>
        <w:jc w:val="center"/>
        <w:spacing w:lineRule="atLeast" w:line="85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20"/>
        </w:rPr>
        <w:t xml:space="preserve">(Ф.И.О. родителя или законного представителя/ребёнка при достижении 14 лет)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соответствии с результатами Конкурса даю своё согласие на участие __________________________________________________________________________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color w:val="000000"/>
          <w:sz w:val="20"/>
        </w:rPr>
        <w:t xml:space="preserve">(Ф.И.О. участника-победителя конкурса)</w:t>
      </w:r>
      <w:r/>
    </w:p>
    <w:p>
      <w:pPr>
        <w:ind w:left="0" w:right="0" w:firstLine="0"/>
        <w:jc w:val="both"/>
        <w:spacing w:lineRule="atLeast" w:line="85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в образовательной программе, включающей Презентации фильмов в Москве в Доме кино и на Городском экране архитектурно-скульптурного пространства, посвященного фронтовому кинооператору (г. Красногорск, Московской области), а также экскурсий в Российский госу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дарственный архив кинофотодокументов и Красногорский филиал Музея Победы (Московская область).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Дата заполнения</w:t>
        <w:tab/>
        <w:tab/>
        <w:tab/>
        <w:tab/>
        <w:tab/>
        <w:tab/>
        <w:tab/>
        <w:t xml:space="preserve">      Подпись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 </w:t>
      </w:r>
      <w:r/>
    </w:p>
    <w:p>
      <w:pPr>
        <w:ind w:left="120" w:right="120" w:firstLine="0"/>
        <w:spacing w:after="120" w:before="12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br w:type="page"/>
      </w:r>
      <w:r/>
    </w:p>
    <w:p>
      <w:pPr>
        <w:ind w:left="0" w:right="0" w:firstLine="0"/>
        <w:jc w:val="right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1"/>
        </w:rPr>
        <w:t xml:space="preserve">Приложение 2</w:t>
      </w:r>
      <w:r/>
    </w:p>
    <w:p>
      <w:pPr>
        <w:ind w:left="0" w:right="0" w:firstLine="540"/>
        <w:jc w:val="center"/>
        <w:spacing w:after="0" w:before="0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1"/>
        </w:rPr>
        <w:t xml:space="preserve">СОГЛАСИЕ</w:t>
      </w:r>
      <w:r/>
    </w:p>
    <w:p>
      <w:pPr>
        <w:ind w:left="0" w:right="0" w:firstLine="540"/>
        <w:jc w:val="center"/>
        <w:spacing w:after="0" w:before="0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1"/>
        </w:rPr>
        <w:t xml:space="preserve">на использование и обработку персональных данных</w:t>
      </w:r>
      <w:r/>
    </w:p>
    <w:p>
      <w:pPr>
        <w:ind w:left="0" w:right="0" w:firstLine="540"/>
        <w:jc w:val="center"/>
        <w:spacing w:after="0" w:before="0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 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18"/>
        </w:rPr>
        <w:t xml:space="preserve">Я, </w:t>
      </w:r>
      <w:r>
        <w:rPr>
          <w:rFonts w:ascii="Times New Roman" w:hAnsi="Times New Roman" w:cs="Times New Roman" w:eastAsia="Times New Roman"/>
          <w:b/>
          <w:color w:val="00000A"/>
          <w:sz w:val="18"/>
        </w:rPr>
        <w:t xml:space="preserve">_________________________________________________________________________________________________________________,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18"/>
        </w:rPr>
        <w:t xml:space="preserve">ФИО родителя или законного представителя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18"/>
        </w:rPr>
        <w:t xml:space="preserve">паспорт ___________ _____________, выдан _____________________________________________________________________________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18"/>
        </w:rPr>
        <w:t xml:space="preserve">серия                   номер                                                              когда, кем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18"/>
        </w:rPr>
        <w:t xml:space="preserve">___________________________________________________________________________________________________________________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18"/>
        </w:rPr>
        <w:t xml:space="preserve">___________________________________________________________________________________________________________________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18"/>
        </w:rPr>
        <w:t xml:space="preserve">(в случае опекунства / попечительства указать реквизиты документа, на основании которого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18"/>
        </w:rPr>
        <w:t xml:space="preserve"> осуществляется опека или попечительство)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18"/>
        </w:rPr>
        <w:t xml:space="preserve">___________________________________________________________________________________________________________________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18"/>
        </w:rPr>
        <w:t xml:space="preserve">адрес проживания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18"/>
        </w:rPr>
        <w:t xml:space="preserve">являющийся родителем (законным представителем) ребенка ____________________________________________________________________________________________________________________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18"/>
        </w:rPr>
        <w:t xml:space="preserve">фамилия, имя, отчество ребенка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18"/>
        </w:rPr>
        <w:t xml:space="preserve">паспорт (свидетельство о рождении) _______ _____________, выдан _________________________________________________________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18"/>
        </w:rPr>
        <w:tab/>
        <w:tab/>
        <w:tab/>
        <w:tab/>
        <w:t xml:space="preserve">серия             номер                                           когда, кем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18"/>
        </w:rPr>
        <w:t xml:space="preserve">____________________________________________________________________________________________________________________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18"/>
        </w:rPr>
        <w:t xml:space="preserve">____________________________________________________________________________________________________________________</w:t>
      </w:r>
      <w:r/>
    </w:p>
    <w:p>
      <w:pPr>
        <w:ind w:left="0" w:right="0" w:firstLine="0"/>
        <w:spacing w:after="0" w:before="0"/>
        <w:tabs>
          <w:tab w:val="left" w:pos="70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18"/>
        </w:rPr>
        <w:t xml:space="preserve">адрес проживания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на основании Семейного кодекса РФ и Федерального закона от 27.07.2006 г. № 152-ФЗ  «О персональных данных» даю согласие на обработку своих персональных данных и персональных данных ребенка (далее Ребенок) Межрегиональной общественной организации «Детское м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едийное объединение «Бумеранг»  (далее МОО ДМО «Бумеранг»), расположенному по адресу: 101000,  г. Москва, ул.  Мясницкая,   дом  №  22, строение 1, офис 8 в связи с проведением Всероссийского заочного конкурса подростковых медиаработ «Без срока давности: н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епокорённые»  и направлением победителей для участия в июне 2022 года образовательной программы в Москве.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ab/>
        <w:t xml:space="preserve">Перечень своих персональных данных, на обработку которых даю согласие: фамилия, имя, отчество, серия и номер паспорта, сведения о выдаче паспорта, включая дату выдачи и код подразделения, место регистрации и место фактического проживания, номер домашнего 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и мобильного телефона, место работы, номер служебного телефона, дополнительные данные, которые я сообщил(а) в заявлении, договоре, других заполняемых мною документах.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ab/>
        <w:t xml:space="preserve">Перечень персональных данных Ребенка, на обработку которых даю согласие: фамилия, имя, отчество, школа, класс, домашний адрес, дата регистрации по месту проживания, дата рождения, место рождения, серия и номер паспорта (свидетельства о рождении), сведения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 о выдаче паспорта (свидетельства о рождении), включая дату выдачи и код подразделения, серия и номер миграционной карты, вида на жительство, разрешения на временное проживание, телефон, адрес электронной почты, результаты участия Ребенка в различных олимп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иадах, смотрах, конкурсах, соревнованиях и т.п., сведения о размере одежды, сведения о состоянии здоровья, дополнительные данные, которые я сообщил (а) в заявлении, договоре, других заполняемых мною документах.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ab/>
        <w:t xml:space="preserve">Вышеуказанные персональные данные представлены с целью: использования МОО ДМО «Бумеранг» для формирования организацией единого банка данных контингента детей в целях осуществления образовательнойдеятельности, индивидуального учета результатов усвоения дет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ьмиобразовательных программ, хранения в архивах сведений об этих результатах;фото и видео съемки моего ребенка во время участия в образовательных программах и проектах, реализуемых МОО ДМО «Бумеранг»; использования фото, видео и информационных материалов  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для коммерческих, рекламных и промо целей, связанных с деятельностью МОО ДМО «Бумеранг»; использования при наполнении информационных ресурсов – сайта и социальных сетей МОО ДМО «Бумеранг» и печатных СМИ.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Я даю разрешение на безвозмездное использование фото- и видеоматериалов, а также других информационных материалов с участием моего ребенка во внутренних и внешних коммуникациях, фотографии и изображение могут быть скопированы, представлены и сделаны достоя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нием общественности или адаптированы для использования любыми СМИ и любым способом, в частности в рекламных буклетах и во всех средствах массовой информации, ТВ, кинофильмах, видео, в Интернете, листовках, почтовых рассылках, каталогах, постерах, промо ста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тьях, рекламной кампании, на упаковке, и т.д. при условии, что произведенные фотографии и видео не нанесут вред достоинству и репутации моего ребенка. 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ab/>
        <w:t xml:space="preserve">С вышеуказанными персональными данными могут быть совершены следующие действия: сбор, систематизация, накопление, автоматизированная обработка, хранение, уточнение (обновление, изменение), использование, передача вышеуказанных данных по запросу вышестояще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й организации, по письменному запросу уполномоченных организаций, обезличивание и уничтожение персональных данных.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ab/>
        <w:t xml:space="preserve">Я даю согласие на передачу всего объема персональных данных: в архив организации и (при необходимости) в другие архивы для хранения; транспортным компаниям; туристским и страховым компаниям; миграционной службе; медицинским и лечебным организациям и учреж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дениям; иным юридическим и физическим лицам – исключительно для нужд обеспечения участия Ребенка в образовательных программах МОО ДМО «Бумеранг» (при обязательном условии соблюдения конфиденциальности персональных данных), а также на блокирование и уничтож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ение персональных данных.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ab/>
        <w:t xml:space="preserve">Я согласен (-сна), что обработка персональных данных может осуществляться как с использованием автоматизированных средств, так и без таковых.</w:t>
      </w:r>
      <w:r/>
    </w:p>
    <w:p>
      <w:pPr>
        <w:ind w:left="0" w:right="0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Данное согласие действует в соответствии с архивным законодательством.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ab/>
        <w:t xml:space="preserve">Я оставляю за собой право отозвать настоящее согласие, письменно уведомив об этом МОО ДМО «Бумеранг». В случае получения моего письменного заявления об отзыве настоящего согласия МОО ДМО «Бумеранг» обязана прекратить обработку или обеспечить прекращение о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бработки персональных данных и уничтожить или обеспечить уничтожение персональных данных в срок, не превышающий 30 дней с даты поступления указанного отзыва. Об уничтожении персональных данных МОО ДМО «Бумеранг» обязана уведомить меня в письменной форме.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 </w:t>
      </w:r>
      <w:r/>
      <w:r>
        <w:rPr>
          <w:rFonts w:ascii="Times New Roman" w:hAnsi="Times New Roman" w:cs="Times New Roman" w:eastAsia="Times New Roman"/>
          <w:color w:val="000000"/>
          <w:sz w:val="18"/>
        </w:rPr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«____» _____________ 2021 г.                                                    ________________ / ___________________________</w:t>
      </w:r>
      <w:r/>
    </w:p>
    <w:p>
      <w:pPr>
        <w:ind w:left="0" w:right="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                                                                                                             Подпись                       Фамилия, инициалы</w:t>
      </w:r>
      <w:r/>
      <w:r/>
      <w:r/>
    </w:p>
    <w:p>
      <w:pPr>
        <w:ind w:left="0" w:right="0" w:firstLine="0"/>
        <w:jc w:val="right"/>
        <w:spacing w:lineRule="atLeast" w:line="85"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1"/>
        </w:rPr>
        <w:t xml:space="preserve">Приложение 3</w:t>
      </w:r>
      <w:r/>
    </w:p>
    <w:p>
      <w:pPr>
        <w:ind w:left="708" w:right="1441" w:firstLine="708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0"/>
      </w:pPr>
      <w:r>
        <w:rPr>
          <w:rFonts w:ascii="Times New Roman" w:hAnsi="Times New Roman" w:cs="Times New Roman" w:eastAsia="Times New Roman"/>
          <w:b/>
          <w:color w:val="000000"/>
          <w:sz w:val="21"/>
        </w:rPr>
        <w:t xml:space="preserve">СОГЛАСИЕ (РАЗРЕШИТЕЛЬНОЕ ПИСЬМО)</w:t>
      </w:r>
      <w:r/>
    </w:p>
    <w:p>
      <w:pPr>
        <w:ind w:left="0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1"/>
        </w:rPr>
        <w:t xml:space="preserve">на передачу неисключительных прав на аудиовизуальные произведения</w:t>
      </w:r>
      <w:r/>
    </w:p>
    <w:p>
      <w:pPr>
        <w:ind w:left="0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1"/>
        </w:rPr>
        <w:t xml:space="preserve">(далее медиапродукцию)</w:t>
      </w:r>
      <w:r/>
    </w:p>
    <w:p>
      <w:pPr>
        <w:ind w:left="0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 </w:t>
      </w:r>
      <w:r/>
    </w:p>
    <w:p>
      <w:pPr>
        <w:ind w:left="0" w:right="298" w:firstLine="0"/>
        <w:jc w:val="right"/>
        <w:spacing w:after="0" w:before="0"/>
        <w:tabs>
          <w:tab w:val="left" w:pos="7679" w:leader="none"/>
        </w:tabs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г. _________________                                                                                    «___» ___________2022г.</w:t>
      </w:r>
      <w:r/>
    </w:p>
    <w:p>
      <w:pPr>
        <w:ind w:left="0" w:right="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2"/>
        </w:rPr>
        <w:t xml:space="preserve"> 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2"/>
        </w:rPr>
        <w:t xml:space="preserve">Я,</w:t>
      </w:r>
      <w:r>
        <w:rPr>
          <w:rFonts w:ascii="Times New Roman" w:hAnsi="Times New Roman" w:cs="Times New Roman" w:eastAsia="Times New Roman"/>
          <w:b/>
          <w:color w:val="00000A"/>
          <w:sz w:val="22"/>
        </w:rPr>
        <w:t xml:space="preserve">____________________________________________________________________________________________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22"/>
        </w:rPr>
        <w:t xml:space="preserve">(ФИО)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2"/>
        </w:rPr>
        <w:t xml:space="preserve">паспорт ________ ______________, выдан _________________________________________________________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22"/>
        </w:rPr>
        <w:t xml:space="preserve">(серия,  номер)                                                          (когда, кем)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2"/>
        </w:rPr>
        <w:t xml:space="preserve">______________________________________________________________________________________________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22"/>
        </w:rPr>
        <w:t xml:space="preserve"> 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2"/>
        </w:rPr>
        <w:t xml:space="preserve">______________________________________________________________________________________________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22"/>
        </w:rPr>
        <w:t xml:space="preserve">(адрес)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2"/>
        </w:rPr>
        <w:t xml:space="preserve">даю согласие на использование медиапродукции, созданной нашей медиастудией,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2"/>
        </w:rPr>
        <w:t xml:space="preserve"> 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2"/>
        </w:rPr>
        <w:t xml:space="preserve">______________________________________________________________________________________________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22"/>
        </w:rPr>
        <w:t xml:space="preserve">(наименование медиастудии)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2"/>
        </w:rPr>
        <w:t xml:space="preserve"> 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A"/>
          <w:sz w:val="22"/>
        </w:rPr>
        <w:t xml:space="preserve">______________________________________________________________________________________________</w:t>
      </w:r>
      <w:r/>
    </w:p>
    <w:p>
      <w:pPr>
        <w:ind w:left="101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A"/>
          <w:sz w:val="22"/>
        </w:rPr>
        <w:t xml:space="preserve">(адрес нахождения медиастудии)</w:t>
      </w:r>
      <w:r/>
    </w:p>
    <w:p>
      <w:pPr>
        <w:ind w:left="720" w:right="0" w:firstLine="0"/>
        <w:jc w:val="center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1"/>
        </w:rPr>
        <w:t xml:space="preserve"> </w:t>
      </w:r>
      <w:r/>
    </w:p>
    <w:p>
      <w:pPr>
        <w:ind w:left="101" w:right="284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1.Являясь</w:t>
        <w:tab/>
        <w:t xml:space="preserve">правообладателем </w:t>
        <w:tab/>
        <w:t xml:space="preserve">(представителем</w:t>
        <w:tab/>
      </w:r>
      <w:r>
        <w:rPr>
          <w:rFonts w:ascii="Times New Roman" w:hAnsi="Times New Roman" w:cs="Times New Roman" w:eastAsia="Times New Roman"/>
          <w:color w:val="000000"/>
          <w:spacing w:val="-1"/>
          <w:sz w:val="18"/>
        </w:rPr>
        <w:t xml:space="preserve">правообладателя)</w:t>
      </w:r>
      <w:r>
        <w:rPr>
          <w:rFonts w:ascii="Times New Roman" w:hAnsi="Times New Roman" w:cs="Times New Roman" w:eastAsia="Times New Roman"/>
          <w:color w:val="000000"/>
          <w:sz w:val="18"/>
        </w:rPr>
        <w:t xml:space="preserve">исключительных прав намедиапродукцию, предоставленную на II Всероссийский заочный конкурс подростковых медиаработ «Без срока давности: непокорённые»:</w:t>
      </w:r>
      <w:r/>
    </w:p>
    <w:p>
      <w:pPr>
        <w:ind w:left="101" w:right="284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1"/>
        </w:rPr>
        <w:t xml:space="preserve"> </w:t>
      </w:r>
      <w:r/>
    </w:p>
    <w:p>
      <w:pPr>
        <w:ind w:left="101" w:right="-3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1"/>
        </w:rPr>
        <w:t xml:space="preserve">__________________________________________________________________________________________________</w:t>
      </w:r>
      <w:r/>
    </w:p>
    <w:p>
      <w:pPr>
        <w:ind w:left="0" w:right="-3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Указывается наименование медиаработы, год создания, хронометраж</w:t>
      </w:r>
      <w:r/>
    </w:p>
    <w:p>
      <w:pPr>
        <w:ind w:left="0" w:right="-3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 </w:t>
      </w:r>
      <w:r/>
    </w:p>
    <w:p>
      <w:pPr>
        <w:ind w:left="101" w:right="-3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2"/>
        </w:rPr>
        <w:t xml:space="preserve">______________________________________________________________________________________________</w:t>
      </w:r>
      <w:r/>
    </w:p>
    <w:p>
      <w:pPr>
        <w:ind w:left="0" w:right="-3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Указывается наименование медиаработы, год создания, хронометраж</w:t>
      </w:r>
      <w:r/>
    </w:p>
    <w:p>
      <w:pPr>
        <w:ind w:left="0" w:right="-3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 </w:t>
      </w:r>
      <w:r/>
    </w:p>
    <w:p>
      <w:pPr>
        <w:ind w:left="101" w:right="-3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2"/>
        </w:rPr>
        <w:t xml:space="preserve">______________________________________________________________________________________________</w:t>
      </w:r>
      <w:r/>
    </w:p>
    <w:p>
      <w:pPr>
        <w:ind w:left="0" w:right="-3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Указывается наименование медиаработы, год создания, хронометраж</w:t>
      </w:r>
      <w:r/>
    </w:p>
    <w:p>
      <w:pPr>
        <w:ind w:left="0" w:right="-3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 </w:t>
      </w:r>
      <w:r/>
    </w:p>
    <w:p>
      <w:pPr>
        <w:ind w:left="101" w:right="-30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2"/>
        </w:rPr>
        <w:t xml:space="preserve">______________________________________________________________________________________________</w:t>
      </w:r>
      <w:r/>
    </w:p>
    <w:p>
      <w:pPr>
        <w:ind w:left="0" w:right="-30" w:firstLine="0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18"/>
        </w:rPr>
        <w:t xml:space="preserve">Указывается наименование медиаработы, год создания, хронометраж</w:t>
      </w:r>
      <w:r/>
    </w:p>
    <w:p>
      <w:pPr>
        <w:ind w:left="101" w:right="112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 </w:t>
      </w:r>
      <w:r/>
    </w:p>
    <w:p>
      <w:pPr>
        <w:ind w:left="0" w:right="283" w:firstLine="0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даю Согласие Межрегиональной общественной организации «Детское медийное объединение «Бумеранг»,  расположенной по адресу: 101000,  г. Москва,  ул. Мясницкая,   дом   №  22, строение 1, офис 8 на использование указанной медиапродукции для публичного некомме</w:t>
      </w:r>
      <w:r>
        <w:rPr>
          <w:rFonts w:ascii="Times New Roman" w:hAnsi="Times New Roman" w:cs="Times New Roman" w:eastAsia="Times New Roman"/>
          <w:color w:val="000000"/>
          <w:sz w:val="20"/>
        </w:rPr>
        <w:t xml:space="preserve">рческого показа, т.е. любую демонстрацию медиапродукции в месте, открытом для свободного посещения, в том числе в сетиИнтернет.</w:t>
      </w:r>
      <w:r/>
    </w:p>
    <w:p>
      <w:pPr>
        <w:ind w:left="0" w:right="283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Я, как правообладатель (представитель правообладателя) медиапродукции, разрешаю МОО ДМО «Бумеранг» использовать их на безвозмездной основе бессрочно и на территории всех странмира.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Настоящим Согласием (Разрешительным письмом) правообладатель (представитель правообладателя) гарантирует, что он является законным обладателем прав на медиапродукцию, предоставляемую МОО ДМО «Бумеранг».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Правообладатель (представитель правообладателя) гарантирует наличие у него согласия правообладателей медиапродукции на использование показа медиапродукции третьими лицами без выплаты им вознаграждения, а также на передачу третьим лицам прав.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 Правообладатель гарантирует, что предоставленные в рамках настоящего Согласия (Разрешительного письма) права не нарушает прав третьих лиц, а также чьи-либо авторские и смежные права.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В случае возникновения претензий и исков со стороны третьих лиц по предмету использования МОО ДМО «Бумеранг» показа медиапродукции Правообладатель обязуется принять такие претензии и иски на себя и разрешить их самостоятельно и за свой счет.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Правообладатель гарантирует, что к МОО ДМО «Бумеранг» не могут быть предъявлены никакие требования третьих лиц о выплате вознаграждений за показ медиапродукции.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 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Настоящее Согласие (Разрешительное письмо) действует бессрочно на территории стран всего мира.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 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 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____________________________________________________________/ ________________</w:t>
      </w:r>
      <w:r/>
    </w:p>
    <w:p>
      <w:pPr>
        <w:ind w:left="0" w:right="99" w:firstLine="708"/>
        <w:jc w:val="both"/>
        <w:spacing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0"/>
        </w:rPr>
        <w:t xml:space="preserve">           Фамилия, имя, отчество полностью собственноручно                             </w:t>
        <w:tab/>
        <w:t xml:space="preserve"> Подпись</w:t>
      </w:r>
      <w:r/>
      <w:r>
        <w:rPr>
          <w:rFonts w:ascii="Times New Roman" w:hAnsi="Times New Roman" w:cs="Times New Roman" w:eastAsia="Times New Roman"/>
          <w:color w:val="000000"/>
          <w:sz w:val="21"/>
        </w:rPr>
      </w:r>
      <w:r/>
    </w:p>
    <w:sectPr>
      <w:footerReference w:type="default" r:id="rId9"/>
      <w:footerReference w:type="even" r:id="rId10"/>
      <w:footnotePr/>
      <w:endnotePr/>
      <w:type w:val="nextPage"/>
      <w:pgSz w:w="11901" w:h="16840" w:orient="portrait"/>
      <w:pgMar w:top="720" w:right="720" w:bottom="720" w:left="72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times new roman bold italic">
    <w:panose1 w:val="02000500000000020004"/>
  </w:font>
  <w:font w:name="Symbol">
    <w:panose1 w:val="05010000000000000000"/>
  </w:font>
  <w:font w:name="nttimes/cyrillic">
    <w:panose1 w:val="020005000000000200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844127447"/>
      <w:docPartObj>
        <w:docPartGallery w:val="Page Numbers (Bottom of Page)"/>
        <w:docPartUnique w:val="true"/>
      </w:docPartObj>
      <w:rPr/>
    </w:sdtPr>
    <w:sdtContent>
      <w:p>
        <w:pPr>
          <w:pStyle w:val="761"/>
          <w:rPr>
            <w:rStyle w:val="763"/>
          </w:rPr>
          <w:framePr w:wrap="none" w:vAnchor="text" w:hAnchor="margin" w:xAlign="right" w:y="1"/>
        </w:pPr>
        <w:r>
          <w:rPr>
            <w:rStyle w:val="763"/>
          </w:rPr>
          <w:fldChar w:fldCharType="begin"/>
        </w:r>
        <w:r>
          <w:rPr>
            <w:rStyle w:val="763"/>
          </w:rPr>
          <w:instrText xml:space="preserve"> PAGE </w:instrText>
        </w:r>
        <w:r>
          <w:rPr>
            <w:rStyle w:val="763"/>
          </w:rPr>
          <w:fldChar w:fldCharType="separate"/>
        </w:r>
        <w:r>
          <w:rPr>
            <w:rStyle w:val="763"/>
          </w:rPr>
          <w:t xml:space="preserve">23</w:t>
        </w:r>
        <w:r>
          <w:rPr>
            <w:rStyle w:val="763"/>
          </w:rPr>
          <w:fldChar w:fldCharType="end"/>
        </w:r>
        <w:r/>
      </w:p>
    </w:sdtContent>
  </w:sdt>
  <w:p>
    <w:pPr>
      <w:pStyle w:val="761"/>
      <w:ind w:right="3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94640805"/>
      <w:docPartObj>
        <w:docPartGallery w:val="Page Numbers (Bottom of Page)"/>
        <w:docPartUnique w:val="true"/>
      </w:docPartObj>
      <w:rPr/>
    </w:sdtPr>
    <w:sdtContent>
      <w:p>
        <w:pPr>
          <w:pStyle w:val="761"/>
          <w:rPr>
            <w:rStyle w:val="763"/>
          </w:rPr>
          <w:framePr w:wrap="none" w:vAnchor="text" w:hAnchor="margin" w:xAlign="right" w:y="1"/>
        </w:pPr>
        <w:r>
          <w:rPr>
            <w:rStyle w:val="763"/>
          </w:rPr>
          <w:fldChar w:fldCharType="begin"/>
        </w:r>
        <w:r>
          <w:rPr>
            <w:rStyle w:val="763"/>
          </w:rPr>
          <w:instrText xml:space="preserve"> PAGE </w:instrText>
        </w:r>
        <w:r>
          <w:rPr>
            <w:rStyle w:val="763"/>
          </w:rPr>
          <w:fldChar w:fldCharType="end"/>
        </w:r>
        <w:r/>
      </w:p>
    </w:sdtContent>
  </w:sdt>
  <w:p>
    <w:pPr>
      <w:pStyle w:val="761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</w:rPr>
    </w:lvl>
    <w:lvl w:ilvl="1">
      <w:start w:val="5"/>
      <w:numFmt w:val="decimal"/>
      <w:isLgl/>
      <w:suff w:val="tab"/>
      <w:lvlText w:val="%1.%2."/>
      <w:lvlJc w:val="left"/>
      <w:pPr>
        <w:ind w:left="1006" w:hanging="580"/>
      </w:pPr>
      <w:rPr>
        <w:rFonts w:eastAsia="Calibri"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146" w:hanging="720"/>
      </w:pPr>
      <w:rPr>
        <w:rFonts w:eastAsia="Calibri"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146" w:hanging="720"/>
      </w:pPr>
      <w:rPr>
        <w:rFonts w:eastAsia="Calibri"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506" w:hanging="1080"/>
      </w:pPr>
      <w:rPr>
        <w:rFonts w:eastAsia="Calibri"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506" w:hanging="1080"/>
      </w:pPr>
      <w:rPr>
        <w:rFonts w:eastAsia="Calibri"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66" w:hanging="1440"/>
      </w:pPr>
      <w:rPr>
        <w:rFonts w:eastAsia="Calibri"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66" w:hanging="1440"/>
      </w:pPr>
      <w:rPr>
        <w:rFonts w:eastAsia="Calibri"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226" w:hanging="1800"/>
      </w:pPr>
      <w:rPr>
        <w:rFonts w:eastAsia="Calibri"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6"/>
      <w:numFmt w:val="decimal"/>
      <w:isLgl w:val="false"/>
      <w:suff w:val="tab"/>
      <w:lvlText w:val="%1.%2"/>
      <w:lvlJc w:val="left"/>
      <w:pPr>
        <w:ind w:left="927" w:hanging="360"/>
      </w:pPr>
      <w:rPr>
        <w:rFonts w:eastAsia="Times New Roman"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854" w:hanging="720"/>
      </w:pPr>
      <w:rPr>
        <w:rFonts w:eastAsia="Times New Roman"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781" w:hanging="1080"/>
      </w:pPr>
      <w:rPr>
        <w:rFonts w:eastAsia="Times New Roman"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348" w:hanging="1080"/>
      </w:pPr>
      <w:rPr>
        <w:rFonts w:eastAsia="Times New Roman"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275" w:hanging="1440"/>
      </w:pPr>
      <w:rPr>
        <w:rFonts w:eastAsia="Times New Roman"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4842" w:hanging="1440"/>
      </w:pPr>
      <w:rPr>
        <w:rFonts w:eastAsia="Times New Roman"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5769" w:hanging="1800"/>
      </w:pPr>
      <w:rPr>
        <w:rFonts w:eastAsia="Times New Roman"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6696" w:hanging="2160"/>
      </w:pPr>
      <w:rPr>
        <w:rFonts w:eastAsia="Times New Roman"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41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901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61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bullet"/>
      <w:isLgl w:val="false"/>
      <w:suff w:val="tab"/>
      <w:lvlText w:val="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7"/>
      <w:numFmt w:val="decimal"/>
      <w:isLgl w:val="false"/>
      <w:suff w:val="tab"/>
      <w:lvlText w:val="%1.%2."/>
      <w:lvlJc w:val="left"/>
      <w:pPr>
        <w:ind w:left="786" w:hanging="360"/>
      </w:pPr>
      <w:rPr>
        <w:rFonts w:eastAsia="Calibri"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572" w:hanging="720"/>
      </w:pPr>
      <w:rPr>
        <w:rFonts w:eastAsia="Calibri"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998" w:hanging="720"/>
      </w:pPr>
      <w:rPr>
        <w:rFonts w:eastAsia="Calibri"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784" w:hanging="1080"/>
      </w:pPr>
      <w:rPr>
        <w:rFonts w:eastAsia="Calibri"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210" w:hanging="1080"/>
      </w:pPr>
      <w:rPr>
        <w:rFonts w:eastAsia="Calibri"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996" w:hanging="1440"/>
      </w:pPr>
      <w:rPr>
        <w:rFonts w:eastAsia="Calibri"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422" w:hanging="1440"/>
      </w:pPr>
      <w:rPr>
        <w:rFonts w:eastAsia="Calibri"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208" w:hanging="1800"/>
      </w:pPr>
      <w:rPr>
        <w:rFonts w:eastAsia="Calibri" w:hint="default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20"/>
  </w:num>
  <w:num w:numId="3">
    <w:abstractNumId w:val="18"/>
  </w:num>
  <w:num w:numId="4">
    <w:abstractNumId w:val="28"/>
  </w:num>
  <w:num w:numId="5">
    <w:abstractNumId w:val="2"/>
  </w:num>
  <w:num w:numId="6">
    <w:abstractNumId w:val="29"/>
  </w:num>
  <w:num w:numId="7">
    <w:abstractNumId w:val="0"/>
  </w:num>
  <w:num w:numId="8">
    <w:abstractNumId w:val="10"/>
  </w:num>
  <w:num w:numId="9">
    <w:abstractNumId w:val="7"/>
  </w:num>
  <w:num w:numId="10">
    <w:abstractNumId w:val="17"/>
  </w:num>
  <w:num w:numId="11">
    <w:abstractNumId w:val="24"/>
  </w:num>
  <w:num w:numId="12">
    <w:abstractNumId w:val="16"/>
  </w:num>
  <w:num w:numId="13">
    <w:abstractNumId w:val="12"/>
  </w:num>
  <w:num w:numId="14">
    <w:abstractNumId w:val="19"/>
  </w:num>
  <w:num w:numId="15">
    <w:abstractNumId w:val="6"/>
  </w:num>
  <w:num w:numId="16">
    <w:abstractNumId w:val="31"/>
  </w:num>
  <w:num w:numId="17">
    <w:abstractNumId w:val="3"/>
  </w:num>
  <w:num w:numId="18">
    <w:abstractNumId w:val="1"/>
  </w:num>
  <w:num w:numId="19">
    <w:abstractNumId w:val="15"/>
  </w:num>
  <w:num w:numId="20">
    <w:abstractNumId w:val="11"/>
  </w:num>
  <w:num w:numId="21">
    <w:abstractNumId w:val="22"/>
  </w:num>
  <w:num w:numId="22">
    <w:abstractNumId w:val="26"/>
  </w:num>
  <w:num w:numId="23">
    <w:abstractNumId w:val="14"/>
  </w:num>
  <w:num w:numId="24">
    <w:abstractNumId w:val="9"/>
  </w:num>
  <w:num w:numId="25">
    <w:abstractNumId w:val="5"/>
  </w:num>
  <w:num w:numId="26">
    <w:abstractNumId w:val="4"/>
  </w:num>
  <w:num w:numId="27">
    <w:abstractNumId w:val="27"/>
  </w:num>
  <w:num w:numId="28">
    <w:abstractNumId w:val="21"/>
  </w:num>
  <w:num w:numId="29">
    <w:abstractNumId w:val="23"/>
  </w:num>
  <w:num w:numId="30">
    <w:abstractNumId w:val="25"/>
  </w:num>
  <w:num w:numId="31">
    <w:abstractNumId w:val="8"/>
  </w:num>
  <w:num w:numId="32">
    <w:abstractNumId w:val="3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4"/>
        <w:szCs w:val="24"/>
        <w:lang w:val="ru-RU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746"/>
    <w:link w:val="745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744"/>
    <w:next w:val="744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746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744"/>
    <w:next w:val="744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746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744"/>
    <w:next w:val="744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746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744"/>
    <w:next w:val="744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746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44"/>
    <w:next w:val="744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746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44"/>
    <w:next w:val="744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746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44"/>
    <w:next w:val="744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746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44"/>
    <w:next w:val="744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746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744"/>
    <w:next w:val="744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746"/>
    <w:link w:val="32"/>
    <w:uiPriority w:val="10"/>
    <w:rPr>
      <w:sz w:val="48"/>
      <w:szCs w:val="48"/>
    </w:rPr>
  </w:style>
  <w:style w:type="paragraph" w:styleId="34">
    <w:name w:val="Subtitle"/>
    <w:basedOn w:val="744"/>
    <w:next w:val="744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746"/>
    <w:link w:val="34"/>
    <w:uiPriority w:val="11"/>
    <w:rPr>
      <w:sz w:val="24"/>
      <w:szCs w:val="24"/>
    </w:rPr>
  </w:style>
  <w:style w:type="paragraph" w:styleId="36">
    <w:name w:val="Quote"/>
    <w:basedOn w:val="744"/>
    <w:next w:val="744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44"/>
    <w:next w:val="744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744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746"/>
    <w:link w:val="40"/>
    <w:uiPriority w:val="99"/>
  </w:style>
  <w:style w:type="character" w:styleId="43">
    <w:name w:val="Footer Char"/>
    <w:basedOn w:val="746"/>
    <w:link w:val="761"/>
    <w:uiPriority w:val="99"/>
  </w:style>
  <w:style w:type="paragraph" w:styleId="44">
    <w:name w:val="Caption"/>
    <w:basedOn w:val="744"/>
    <w:next w:val="74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761"/>
    <w:uiPriority w:val="99"/>
  </w:style>
  <w:style w:type="table" w:styleId="47">
    <w:name w:val="Table Grid Light"/>
    <w:basedOn w:val="74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4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4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74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74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74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74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74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74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74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6">
    <w:name w:val="List Table 7 Colorful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0">
    <w:name w:val="List Table 7 Colorful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7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7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173">
    <w:name w:val="footnote text"/>
    <w:basedOn w:val="744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746"/>
    <w:uiPriority w:val="99"/>
    <w:unhideWhenUsed/>
    <w:rPr>
      <w:vertAlign w:val="superscript"/>
    </w:rPr>
  </w:style>
  <w:style w:type="paragraph" w:styleId="176">
    <w:name w:val="endnote text"/>
    <w:basedOn w:val="744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46"/>
    <w:uiPriority w:val="99"/>
    <w:semiHidden/>
    <w:unhideWhenUsed/>
    <w:rPr>
      <w:vertAlign w:val="superscript"/>
    </w:rPr>
  </w:style>
  <w:style w:type="paragraph" w:styleId="179">
    <w:name w:val="toc 1"/>
    <w:basedOn w:val="744"/>
    <w:next w:val="744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744"/>
    <w:next w:val="744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744"/>
    <w:next w:val="744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744"/>
    <w:next w:val="744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44"/>
    <w:next w:val="744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44"/>
    <w:next w:val="744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44"/>
    <w:next w:val="744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44"/>
    <w:next w:val="744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44"/>
    <w:next w:val="744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744"/>
    <w:next w:val="744"/>
    <w:uiPriority w:val="99"/>
    <w:unhideWhenUsed/>
    <w:pPr>
      <w:spacing w:after="0" w:afterAutospacing="0"/>
    </w:pPr>
  </w:style>
  <w:style w:type="paragraph" w:styleId="744" w:default="1">
    <w:name w:val="Normal"/>
    <w:qFormat/>
    <w:rPr>
      <w:rFonts w:ascii="Times New Roman" w:hAnsi="Times New Roman" w:cs="Times New Roman" w:eastAsia="Times New Roman"/>
      <w:lang w:eastAsia="ru-RU"/>
    </w:rPr>
  </w:style>
  <w:style w:type="paragraph" w:styleId="745">
    <w:name w:val="Heading 1"/>
    <w:basedOn w:val="744"/>
    <w:next w:val="744"/>
    <w:link w:val="767"/>
    <w:qFormat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en-US"/>
    </w:rPr>
    <w:pPr>
      <w:keepLines/>
      <w:keepNext/>
      <w:spacing w:lineRule="auto" w:line="276" w:before="240"/>
      <w:outlineLvl w:val="0"/>
    </w:pPr>
  </w:style>
  <w:style w:type="character" w:styleId="746" w:default="1">
    <w:name w:val="Default Paragraph Font"/>
    <w:uiPriority w:val="1"/>
    <w:semiHidden/>
    <w:unhideWhenUsed/>
  </w:style>
  <w:style w:type="table" w:styleId="7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8" w:default="1">
    <w:name w:val="No List"/>
    <w:uiPriority w:val="99"/>
    <w:semiHidden/>
    <w:unhideWhenUsed/>
  </w:style>
  <w:style w:type="paragraph" w:styleId="749">
    <w:name w:val="List Paragraph"/>
    <w:basedOn w:val="744"/>
    <w:qFormat/>
    <w:uiPriority w:val="34"/>
    <w:rPr>
      <w:rFonts w:ascii="Calibri" w:hAnsi="Calibri" w:eastAsia="Calibri"/>
      <w:sz w:val="22"/>
      <w:szCs w:val="22"/>
      <w:lang w:eastAsia="en-US"/>
    </w:rPr>
    <w:pPr>
      <w:contextualSpacing w:val="true"/>
      <w:ind w:left="720"/>
      <w:jc w:val="center"/>
    </w:pPr>
  </w:style>
  <w:style w:type="character" w:styleId="750">
    <w:name w:val="Strong"/>
    <w:qFormat/>
    <w:uiPriority w:val="99"/>
    <w:rPr>
      <w:b/>
      <w:bCs/>
    </w:rPr>
  </w:style>
  <w:style w:type="character" w:styleId="751">
    <w:name w:val="Hyperlink"/>
    <w:uiPriority w:val="99"/>
    <w:rPr>
      <w:color w:val="0563C1"/>
      <w:u w:val="single"/>
    </w:rPr>
  </w:style>
  <w:style w:type="paragraph" w:styleId="752">
    <w:name w:val="Normal (Web)"/>
    <w:basedOn w:val="744"/>
    <w:uiPriority w:val="99"/>
    <w:unhideWhenUsed/>
    <w:pPr>
      <w:spacing w:after="100" w:afterAutospacing="1" w:before="100" w:beforeAutospacing="1"/>
    </w:pPr>
  </w:style>
  <w:style w:type="character" w:styleId="753" w:customStyle="1">
    <w:name w:val="Неразрешенное упоминание1"/>
    <w:basedOn w:val="746"/>
    <w:uiPriority w:val="99"/>
    <w:semiHidden/>
    <w:unhideWhenUsed/>
    <w:rPr>
      <w:color w:val="605E5C"/>
      <w:shd w:val="clear" w:fill="E1DFDD" w:color="auto"/>
    </w:rPr>
  </w:style>
  <w:style w:type="paragraph" w:styleId="754">
    <w:name w:val="Body Text"/>
    <w:basedOn w:val="744"/>
    <w:link w:val="755"/>
    <w:rPr>
      <w:rFonts w:ascii="NTTimes/Cyrillic" w:hAnsi="NTTimes/Cyrillic" w:eastAsia="Calibri"/>
      <w:sz w:val="20"/>
      <w:szCs w:val="20"/>
    </w:rPr>
    <w:pPr>
      <w:spacing w:after="120"/>
    </w:pPr>
  </w:style>
  <w:style w:type="character" w:styleId="755" w:customStyle="1">
    <w:name w:val="Основной текст Знак"/>
    <w:basedOn w:val="746"/>
    <w:link w:val="754"/>
    <w:rPr>
      <w:rFonts w:ascii="NTTimes/Cyrillic" w:hAnsi="NTTimes/Cyrillic" w:cs="Times New Roman" w:eastAsia="Calibri"/>
      <w:sz w:val="20"/>
      <w:szCs w:val="20"/>
    </w:rPr>
  </w:style>
  <w:style w:type="paragraph" w:styleId="756" w:customStyle="1">
    <w:name w:val="Обычный1"/>
    <w:uiPriority w:val="99"/>
    <w:rPr>
      <w:rFonts w:ascii="Times New Roman Bold Italic" w:hAnsi="Times New Roman Bold Italic" w:cs="Times New Roman" w:eastAsia="Times New Roman"/>
      <w:color w:val="000000"/>
      <w:sz w:val="28"/>
      <w:szCs w:val="28"/>
    </w:rPr>
    <w:pPr>
      <w:ind w:firstLine="540"/>
      <w:jc w:val="center"/>
      <w:tabs>
        <w:tab w:val="left" w:pos="708" w:leader="none"/>
        <w:tab w:val="left" w:pos="1416" w:leader="none"/>
        <w:tab w:val="left" w:pos="2124" w:leader="none"/>
        <w:tab w:val="left" w:pos="2832" w:leader="none"/>
        <w:tab w:val="left" w:pos="3540" w:leader="none"/>
        <w:tab w:val="left" w:pos="4248" w:leader="none"/>
        <w:tab w:val="left" w:pos="4956" w:leader="none"/>
        <w:tab w:val="left" w:pos="5664" w:leader="none"/>
        <w:tab w:val="left" w:pos="6372" w:leader="none"/>
        <w:tab w:val="left" w:pos="7080" w:leader="none"/>
        <w:tab w:val="left" w:pos="7788" w:leader="none"/>
        <w:tab w:val="left" w:pos="8496" w:leader="none"/>
        <w:tab w:val="left" w:pos="9204" w:leader="none"/>
        <w:tab w:val="left" w:pos="9912" w:leader="none"/>
      </w:tabs>
    </w:pPr>
  </w:style>
  <w:style w:type="paragraph" w:styleId="757" w:customStyle="1">
    <w:name w:val="Базовый"/>
    <w:uiPriority w:val="99"/>
    <w:rPr>
      <w:rFonts w:ascii="Calibri" w:hAnsi="Calibri" w:cs="Times New Roman" w:eastAsia="Times New Roman"/>
      <w:color w:val="00000A"/>
      <w:sz w:val="22"/>
      <w:szCs w:val="22"/>
    </w:rPr>
    <w:pPr>
      <w:spacing w:lineRule="atLeast" w:line="276" w:after="200"/>
      <w:tabs>
        <w:tab w:val="left" w:pos="709" w:leader="none"/>
      </w:tabs>
    </w:pPr>
  </w:style>
  <w:style w:type="character" w:styleId="758" w:customStyle="1">
    <w:name w:val="Цветовое выделение"/>
    <w:uiPriority w:val="99"/>
    <w:rPr>
      <w:b/>
      <w:color w:val="26282F"/>
    </w:rPr>
  </w:style>
  <w:style w:type="character" w:styleId="759" w:customStyle="1">
    <w:name w:val="Неразрешенное упоминание2"/>
    <w:basedOn w:val="746"/>
    <w:uiPriority w:val="99"/>
    <w:semiHidden/>
    <w:unhideWhenUsed/>
    <w:rPr>
      <w:color w:val="605E5C"/>
      <w:shd w:val="clear" w:fill="E1DFDD" w:color="auto"/>
    </w:rPr>
  </w:style>
  <w:style w:type="character" w:styleId="760">
    <w:name w:val="FollowedHyperlink"/>
    <w:basedOn w:val="746"/>
    <w:uiPriority w:val="99"/>
    <w:semiHidden/>
    <w:unhideWhenUsed/>
    <w:rPr>
      <w:color w:val="954F72" w:themeColor="followedHyperlink"/>
      <w:u w:val="single"/>
    </w:rPr>
  </w:style>
  <w:style w:type="paragraph" w:styleId="761">
    <w:name w:val="Footer"/>
    <w:basedOn w:val="744"/>
    <w:link w:val="762"/>
    <w:uiPriority w:val="99"/>
    <w:unhideWhenUsed/>
    <w:rPr>
      <w:rFonts w:ascii="Calibri" w:hAnsi="Calibri" w:eastAsia="Calibri"/>
      <w:sz w:val="22"/>
      <w:szCs w:val="22"/>
      <w:lang w:eastAsia="en-US"/>
    </w:rPr>
    <w:pPr>
      <w:jc w:val="center"/>
      <w:tabs>
        <w:tab w:val="center" w:pos="4677" w:leader="none"/>
        <w:tab w:val="right" w:pos="9355" w:leader="none"/>
      </w:tabs>
    </w:pPr>
  </w:style>
  <w:style w:type="character" w:styleId="762" w:customStyle="1">
    <w:name w:val="Нижний колонтитул Знак"/>
    <w:basedOn w:val="746"/>
    <w:link w:val="761"/>
    <w:uiPriority w:val="99"/>
    <w:rPr>
      <w:rFonts w:ascii="Calibri" w:hAnsi="Calibri" w:cs="Times New Roman" w:eastAsia="Calibri"/>
      <w:sz w:val="22"/>
      <w:szCs w:val="22"/>
    </w:rPr>
  </w:style>
  <w:style w:type="character" w:styleId="763">
    <w:name w:val="page number"/>
    <w:basedOn w:val="746"/>
    <w:uiPriority w:val="99"/>
    <w:semiHidden/>
    <w:unhideWhenUsed/>
  </w:style>
  <w:style w:type="paragraph" w:styleId="764">
    <w:name w:val="Balloon Text"/>
    <w:basedOn w:val="744"/>
    <w:link w:val="765"/>
    <w:uiPriority w:val="99"/>
    <w:semiHidden/>
    <w:unhideWhenUsed/>
    <w:rPr>
      <w:sz w:val="18"/>
      <w:szCs w:val="18"/>
    </w:rPr>
  </w:style>
  <w:style w:type="character" w:styleId="765" w:customStyle="1">
    <w:name w:val="Текст выноски Знак"/>
    <w:basedOn w:val="746"/>
    <w:link w:val="764"/>
    <w:uiPriority w:val="99"/>
    <w:semiHidden/>
    <w:rPr>
      <w:rFonts w:ascii="Times New Roman" w:hAnsi="Times New Roman" w:cs="Times New Roman" w:eastAsia="Calibri"/>
      <w:sz w:val="18"/>
      <w:szCs w:val="18"/>
    </w:rPr>
  </w:style>
  <w:style w:type="character" w:styleId="766">
    <w:name w:val="Unresolved Mention"/>
    <w:basedOn w:val="746"/>
    <w:uiPriority w:val="99"/>
    <w:semiHidden/>
    <w:unhideWhenUsed/>
    <w:rPr>
      <w:color w:val="605E5C"/>
      <w:shd w:val="clear" w:fill="E1DFDD" w:color="auto"/>
    </w:rPr>
  </w:style>
  <w:style w:type="character" w:styleId="767" w:customStyle="1">
    <w:name w:val="Заголовок 1 Знак"/>
    <w:basedOn w:val="746"/>
    <w:link w:val="745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table" w:styleId="768">
    <w:name w:val="Table Grid"/>
    <w:basedOn w:val="747"/>
    <w:uiPriority w:val="39"/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character" w:styleId="769" w:customStyle="1">
    <w:name w:val="docdata"/>
    <w:basedOn w:val="746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hyperlink" Target="http://forumbumerang.ru/" TargetMode="External"/><Relationship Id="rId14" Type="http://schemas.openxmlformats.org/officeDocument/2006/relationships/hyperlink" Target="http://xn--e1aaokcaebgn7jzc.xn--p1ai/" TargetMode="External"/><Relationship Id="rId15" Type="http://schemas.openxmlformats.org/officeDocument/2006/relationships/hyperlink" Target="mailto:hello@forumbumerang.ru" TargetMode="External"/><Relationship Id="rId16" Type="http://schemas.openxmlformats.org/officeDocument/2006/relationships/hyperlink" Target="mailto:hello@forumbumerang.ru" TargetMode="External"/><Relationship Id="rId17" Type="http://schemas.openxmlformats.org/officeDocument/2006/relationships/hyperlink" Target="http://xn--e1aaokcaebgn7jzc.xn--p1ai/" TargetMode="External"/><Relationship Id="rId18" Type="http://schemas.openxmlformats.org/officeDocument/2006/relationships/hyperlink" Target="mailto:hello@forumbumerang.ru" TargetMode="External"/><Relationship Id="rId19" Type="http://schemas.openxmlformats.org/officeDocument/2006/relationships/hyperlink" Target="https://vk.com/forumbumerang" TargetMode="External"/><Relationship Id="rId20" Type="http://schemas.openxmlformats.org/officeDocument/2006/relationships/hyperlink" Target="mailto:hello@forumbumerang.ru" TargetMode="External"/><Relationship Id="rId21" Type="http://schemas.openxmlformats.org/officeDocument/2006/relationships/hyperlink" Target="http://www.forumbumerang.ru/" TargetMode="External"/><Relationship Id="rId22" Type="http://schemas.openxmlformats.org/officeDocument/2006/relationships/hyperlink" Target="https://vk.com/forumbumerang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Васильева</dc:creator>
  <cp:keywords/>
  <dc:description/>
  <cp:lastModifiedBy>Natalja Vasiljewa</cp:lastModifiedBy>
  <cp:revision>465</cp:revision>
  <dcterms:created xsi:type="dcterms:W3CDTF">2019-12-27T13:34:00Z</dcterms:created>
  <dcterms:modified xsi:type="dcterms:W3CDTF">2022-02-07T15:07:50Z</dcterms:modified>
</cp:coreProperties>
</file>